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eastAsia="宋体" w:cs="宋体"/>
          <w:b/>
          <w:bCs/>
          <w:kern w:val="36"/>
          <w:sz w:val="72"/>
          <w:szCs w:val="72"/>
        </w:rPr>
      </w:pPr>
    </w:p>
    <w:p>
      <w:pPr>
        <w:widowControl/>
        <w:jc w:val="center"/>
        <w:outlineLvl w:val="0"/>
        <w:rPr>
          <w:rFonts w:ascii="宋体" w:hAnsi="宋体" w:eastAsia="宋体" w:cs="宋体"/>
          <w:b/>
          <w:bCs/>
          <w:kern w:val="36"/>
          <w:sz w:val="72"/>
          <w:szCs w:val="72"/>
        </w:rPr>
      </w:pPr>
      <w:r>
        <w:rPr>
          <w:rFonts w:ascii="宋体" w:hAnsi="宋体" w:eastAsia="宋体" w:cs="宋体"/>
          <w:b/>
          <w:bCs/>
          <w:kern w:val="36"/>
          <w:sz w:val="72"/>
          <w:szCs w:val="72"/>
        </w:rPr>
        <w:t>福建省政府采购</w:t>
      </w:r>
    </w:p>
    <w:p>
      <w:pPr>
        <w:widowControl/>
        <w:jc w:val="center"/>
        <w:outlineLvl w:val="0"/>
        <w:rPr>
          <w:rFonts w:ascii="宋体" w:hAnsi="宋体" w:eastAsia="宋体" w:cs="宋体"/>
          <w:b/>
          <w:bCs/>
          <w:kern w:val="36"/>
          <w:sz w:val="72"/>
          <w:szCs w:val="72"/>
        </w:rPr>
      </w:pPr>
      <w:r>
        <w:rPr>
          <w:rFonts w:ascii="宋体" w:hAnsi="宋体" w:eastAsia="宋体" w:cs="宋体"/>
          <w:b/>
          <w:bCs/>
          <w:kern w:val="36"/>
          <w:sz w:val="72"/>
          <w:szCs w:val="72"/>
        </w:rPr>
        <w:t>货物和服务项目</w:t>
      </w:r>
    </w:p>
    <w:p>
      <w:pPr>
        <w:widowControl/>
        <w:jc w:val="center"/>
        <w:outlineLvl w:val="0"/>
        <w:rPr>
          <w:rFonts w:ascii="宋体" w:hAnsi="宋体" w:eastAsia="宋体" w:cs="宋体"/>
          <w:b/>
          <w:bCs/>
          <w:kern w:val="36"/>
          <w:sz w:val="72"/>
          <w:szCs w:val="72"/>
        </w:rPr>
      </w:pPr>
      <w:r>
        <w:rPr>
          <w:rFonts w:ascii="宋体" w:hAnsi="宋体" w:eastAsia="宋体" w:cs="宋体"/>
          <w:b/>
          <w:bCs/>
          <w:kern w:val="36"/>
          <w:sz w:val="72"/>
          <w:szCs w:val="72"/>
        </w:rPr>
        <w:t>公开招标文件</w:t>
      </w:r>
    </w:p>
    <w:p>
      <w:pPr>
        <w:widowControl/>
        <w:jc w:val="center"/>
        <w:outlineLvl w:val="2"/>
        <w:rPr>
          <w:rFonts w:ascii="宋体" w:hAnsi="宋体" w:eastAsia="宋体" w:cs="宋体"/>
          <w:b/>
          <w:bCs/>
          <w:kern w:val="0"/>
          <w:sz w:val="36"/>
          <w:szCs w:val="36"/>
        </w:rPr>
      </w:pPr>
      <w:r>
        <w:rPr>
          <w:rFonts w:ascii="宋体" w:hAnsi="宋体" w:eastAsia="宋体" w:cs="宋体"/>
          <w:b/>
          <w:bCs/>
          <w:kern w:val="0"/>
          <w:sz w:val="36"/>
          <w:szCs w:val="36"/>
        </w:rPr>
        <w:t>（</w:t>
      </w:r>
      <w:r>
        <w:rPr>
          <w:rFonts w:hint="eastAsia" w:ascii="宋体" w:hAnsi="宋体" w:eastAsia="宋体" w:cs="宋体"/>
          <w:b/>
          <w:bCs/>
          <w:kern w:val="0"/>
          <w:sz w:val="36"/>
          <w:szCs w:val="36"/>
        </w:rPr>
        <w:t>预公告稿</w:t>
      </w:r>
      <w:r>
        <w:rPr>
          <w:rFonts w:ascii="宋体" w:hAnsi="宋体" w:eastAsia="宋体" w:cs="宋体"/>
          <w:b/>
          <w:bCs/>
          <w:kern w:val="0"/>
          <w:sz w:val="36"/>
          <w:szCs w:val="36"/>
        </w:rPr>
        <w:t>）</w:t>
      </w: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r>
        <w:rPr>
          <w:rFonts w:ascii="宋体" w:hAnsi="宋体" w:eastAsia="宋体" w:cs="宋体"/>
          <w:b/>
          <w:bCs/>
          <w:kern w:val="0"/>
          <w:sz w:val="36"/>
          <w:szCs w:val="36"/>
        </w:rPr>
        <w:t>项目名称：2026年福州市产品质量检验所工业产品检验检测设备更新项目-项目4</w:t>
      </w:r>
    </w:p>
    <w:p>
      <w:pPr>
        <w:widowControl/>
        <w:jc w:val="center"/>
        <w:outlineLvl w:val="2"/>
        <w:rPr>
          <w:rFonts w:ascii="宋体" w:hAnsi="宋体" w:eastAsia="宋体" w:cs="宋体"/>
          <w:b/>
          <w:bCs/>
          <w:kern w:val="0"/>
          <w:sz w:val="36"/>
          <w:szCs w:val="36"/>
        </w:rPr>
      </w:pPr>
      <w:r>
        <w:rPr>
          <w:rFonts w:ascii="宋体" w:hAnsi="宋体" w:eastAsia="宋体" w:cs="宋体"/>
          <w:b/>
          <w:bCs/>
          <w:kern w:val="0"/>
          <w:sz w:val="36"/>
          <w:szCs w:val="36"/>
        </w:rPr>
        <w:t>备案编号：CGXM-2026-350101-05297[2026]03657</w:t>
      </w:r>
    </w:p>
    <w:p>
      <w:pPr>
        <w:widowControl/>
        <w:jc w:val="center"/>
        <w:outlineLvl w:val="2"/>
        <w:rPr>
          <w:rFonts w:ascii="宋体" w:hAnsi="宋体" w:eastAsia="宋体" w:cs="宋体"/>
          <w:b/>
          <w:bCs/>
          <w:kern w:val="0"/>
          <w:sz w:val="36"/>
          <w:szCs w:val="36"/>
        </w:rPr>
      </w:pPr>
      <w:r>
        <w:rPr>
          <w:rFonts w:ascii="宋体" w:hAnsi="宋体" w:eastAsia="宋体" w:cs="宋体"/>
          <w:b/>
          <w:bCs/>
          <w:kern w:val="0"/>
          <w:sz w:val="36"/>
          <w:szCs w:val="36"/>
        </w:rPr>
        <w:t>项目编号：[350101]CCZB[GK]2026002</w:t>
      </w: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p>
    <w:p>
      <w:pPr>
        <w:widowControl/>
        <w:jc w:val="center"/>
        <w:outlineLvl w:val="2"/>
        <w:rPr>
          <w:rFonts w:ascii="宋体" w:hAnsi="宋体" w:eastAsia="宋体" w:cs="宋体"/>
          <w:b/>
          <w:bCs/>
          <w:kern w:val="0"/>
          <w:sz w:val="36"/>
          <w:szCs w:val="36"/>
        </w:rPr>
      </w:pPr>
      <w:r>
        <w:rPr>
          <w:rFonts w:ascii="宋体" w:hAnsi="宋体" w:eastAsia="宋体" w:cs="宋体"/>
          <w:b/>
          <w:bCs/>
          <w:kern w:val="0"/>
          <w:sz w:val="36"/>
          <w:szCs w:val="36"/>
        </w:rPr>
        <w:t>采购人：福州市产品质量检验所</w:t>
      </w:r>
    </w:p>
    <w:p>
      <w:pPr>
        <w:widowControl/>
        <w:jc w:val="center"/>
        <w:outlineLvl w:val="2"/>
        <w:rPr>
          <w:rFonts w:ascii="宋体" w:hAnsi="宋体" w:eastAsia="宋体" w:cs="宋体"/>
          <w:b/>
          <w:bCs/>
          <w:kern w:val="0"/>
          <w:sz w:val="36"/>
          <w:szCs w:val="36"/>
        </w:rPr>
      </w:pPr>
      <w:r>
        <w:rPr>
          <w:rFonts w:ascii="宋体" w:hAnsi="宋体" w:eastAsia="宋体" w:cs="宋体"/>
          <w:b/>
          <w:bCs/>
          <w:kern w:val="0"/>
          <w:sz w:val="36"/>
          <w:szCs w:val="36"/>
        </w:rPr>
        <w:t>代理机构：福建省承诚招标代理有限公司</w:t>
      </w:r>
    </w:p>
    <w:p>
      <w:pPr>
        <w:widowControl/>
        <w:shd w:val="clear" w:color="auto" w:fill="FFFFFF"/>
        <w:jc w:val="center"/>
        <w:outlineLvl w:val="2"/>
        <w:rPr>
          <w:rFonts w:ascii="宋体" w:hAnsi="宋体" w:eastAsia="宋体" w:cs="Noto Sans"/>
          <w:kern w:val="0"/>
          <w:sz w:val="36"/>
          <w:szCs w:val="36"/>
        </w:rPr>
      </w:pPr>
      <w:r>
        <w:rPr>
          <w:rFonts w:ascii="宋体" w:hAnsi="宋体" w:eastAsia="宋体" w:cs="Noto Sans"/>
          <w:b/>
          <w:bCs/>
          <w:kern w:val="0"/>
          <w:sz w:val="36"/>
          <w:szCs w:val="36"/>
        </w:rPr>
        <w:t>编制时间：2026年09月</w:t>
      </w:r>
      <w:r>
        <w:rPr>
          <w:rFonts w:ascii="宋体" w:hAnsi="宋体" w:eastAsia="宋体" w:cs="Noto Sans"/>
          <w:kern w:val="0"/>
          <w:sz w:val="36"/>
          <w:szCs w:val="36"/>
        </w:rPr>
        <w:t> </w:t>
      </w:r>
    </w:p>
    <w:p>
      <w:pPr>
        <w:widowControl/>
        <w:shd w:val="clear" w:color="auto" w:fill="FFFFFF"/>
        <w:ind w:firstLine="720" w:firstLineChars="200"/>
        <w:jc w:val="center"/>
        <w:outlineLvl w:val="1"/>
        <w:rPr>
          <w:rFonts w:ascii="宋体" w:hAnsi="宋体" w:eastAsia="宋体" w:cs="Noto Sans"/>
          <w:kern w:val="0"/>
          <w:sz w:val="36"/>
          <w:szCs w:val="39"/>
        </w:rPr>
        <w:sectPr>
          <w:footerReference r:id="rId3" w:type="default"/>
          <w:pgSz w:w="11906" w:h="16838"/>
          <w:pgMar w:top="1134" w:right="1134" w:bottom="1134" w:left="1134" w:header="567" w:footer="567" w:gutter="0"/>
          <w:cols w:space="425" w:num="1"/>
          <w:docGrid w:type="lines" w:linePitch="312" w:charSpace="0"/>
        </w:sectPr>
      </w:pPr>
    </w:p>
    <w:p>
      <w:pPr>
        <w:widowControl/>
        <w:shd w:val="clear" w:color="auto" w:fill="FFFFFF"/>
        <w:jc w:val="center"/>
        <w:outlineLvl w:val="1"/>
        <w:rPr>
          <w:rFonts w:ascii="宋体" w:hAnsi="宋体" w:eastAsia="宋体" w:cs="Noto Sans"/>
          <w:b/>
          <w:kern w:val="0"/>
          <w:sz w:val="24"/>
          <w:szCs w:val="39"/>
        </w:rPr>
      </w:pPr>
      <w:r>
        <w:rPr>
          <w:rFonts w:ascii="宋体" w:hAnsi="宋体" w:eastAsia="宋体" w:cs="Noto Sans"/>
          <w:b/>
          <w:kern w:val="0"/>
          <w:sz w:val="36"/>
          <w:szCs w:val="39"/>
        </w:rPr>
        <w:t>第一章 投标邀请</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福建省承诚招标代理有限公司 采用公开招标方式组织 2026年福州市产品质量检验所工业产品检验检测设备更新项目-项目4 （以下简称：“本项目”）的政府采购活动，现邀请供应商参加投标。</w:t>
      </w:r>
    </w:p>
    <w:p>
      <w:pPr>
        <w:widowControl/>
        <w:shd w:val="clear" w:color="auto" w:fill="FFFFFF"/>
        <w:ind w:firstLine="482" w:firstLineChars="200"/>
        <w:jc w:val="left"/>
        <w:outlineLvl w:val="2"/>
        <w:rPr>
          <w:rFonts w:ascii="宋体" w:hAnsi="宋体" w:eastAsia="宋体" w:cs="Noto Sans"/>
          <w:b/>
          <w:bCs/>
          <w:kern w:val="0"/>
          <w:sz w:val="24"/>
          <w:szCs w:val="27"/>
        </w:rPr>
      </w:pPr>
      <w:r>
        <w:rPr>
          <w:rFonts w:ascii="宋体" w:hAnsi="宋体" w:eastAsia="宋体" w:cs="Noto Sans"/>
          <w:b/>
          <w:bCs/>
          <w:kern w:val="0"/>
          <w:sz w:val="24"/>
          <w:szCs w:val="27"/>
        </w:rPr>
        <w:t>1、备案编号：CGXM-2026-350101-05297[2026]03657</w:t>
      </w:r>
    </w:p>
    <w:p>
      <w:pPr>
        <w:widowControl/>
        <w:shd w:val="clear" w:color="auto" w:fill="FFFFFF"/>
        <w:ind w:firstLine="482" w:firstLineChars="200"/>
        <w:jc w:val="left"/>
        <w:outlineLvl w:val="2"/>
        <w:rPr>
          <w:rFonts w:ascii="宋体" w:hAnsi="宋体" w:eastAsia="宋体" w:cs="Noto Sans"/>
          <w:b/>
          <w:bCs/>
          <w:kern w:val="0"/>
          <w:sz w:val="24"/>
          <w:szCs w:val="27"/>
        </w:rPr>
      </w:pPr>
      <w:r>
        <w:rPr>
          <w:rFonts w:ascii="宋体" w:hAnsi="宋体" w:eastAsia="宋体" w:cs="Noto Sans"/>
          <w:b/>
          <w:bCs/>
          <w:kern w:val="0"/>
          <w:sz w:val="24"/>
          <w:szCs w:val="27"/>
        </w:rPr>
        <w:t>2、项目编号：[350101]CCZB[GK]2026002</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3、预算金额、最高限价：详见《采购标的一览表》。</w:t>
      </w:r>
    </w:p>
    <w:p>
      <w:pPr>
        <w:widowControl/>
        <w:shd w:val="clear" w:color="auto" w:fill="FFFFFF"/>
        <w:ind w:firstLine="482" w:firstLineChars="200"/>
        <w:jc w:val="left"/>
        <w:outlineLvl w:val="2"/>
        <w:rPr>
          <w:rFonts w:ascii="宋体" w:hAnsi="宋体" w:eastAsia="宋体" w:cs="Noto Sans"/>
          <w:b/>
          <w:bCs/>
          <w:kern w:val="0"/>
          <w:sz w:val="24"/>
          <w:szCs w:val="27"/>
        </w:rPr>
      </w:pPr>
      <w:r>
        <w:rPr>
          <w:rFonts w:ascii="宋体" w:hAnsi="宋体" w:eastAsia="宋体" w:cs="Noto Sans"/>
          <w:b/>
          <w:bCs/>
          <w:kern w:val="0"/>
          <w:sz w:val="24"/>
          <w:szCs w:val="27"/>
        </w:rPr>
        <w:t>4、招标内容及要求：详见《采购标的一览表》及招标文件第五章。</w:t>
      </w:r>
    </w:p>
    <w:p>
      <w:pPr>
        <w:widowControl/>
        <w:shd w:val="clear" w:color="auto" w:fill="FFFFFF"/>
        <w:ind w:firstLine="482" w:firstLineChars="200"/>
        <w:jc w:val="left"/>
        <w:outlineLvl w:val="2"/>
        <w:rPr>
          <w:rFonts w:ascii="宋体" w:hAnsi="宋体" w:eastAsia="宋体" w:cs="Noto Sans"/>
          <w:b/>
          <w:bCs/>
          <w:kern w:val="0"/>
          <w:sz w:val="24"/>
          <w:szCs w:val="27"/>
        </w:rPr>
      </w:pPr>
      <w:r>
        <w:rPr>
          <w:rFonts w:ascii="宋体" w:hAnsi="宋体" w:eastAsia="宋体" w:cs="Noto Sans"/>
          <w:b/>
          <w:bCs/>
          <w:kern w:val="0"/>
          <w:sz w:val="24"/>
          <w:szCs w:val="27"/>
        </w:rPr>
        <w:t>5、需要落实的政府采购政策</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进口产品：不适用于本项目。</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节能产品：适用于本项目，按照财政部、发展改革委、生态环境部、市场监管总局公布的《关于调整优化节能产品、环境标志产品政府采购执行机制的通知》（财库〔2019〕9号）实施。</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环境标志产品：适用于本项目，按照财政部、发展改革委、生态环境部、市场监管总局公布的《关于调整优化节能产品、环境标志产品政府采购执行机制的通知》（财库〔2019〕9号）实施。</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促进中小企业发展的相关政策：</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采购包1：设置专门采购包</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面向的企业规模：中小企业</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预留形式：设置专门采购包</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预留比例：100%</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6、投标人的资格要求</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6.1法定条件：符合政府采购法第二十二条第一款规定的条件。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6.2特定条件：</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tbl>
      <w:tblPr>
        <w:tblStyle w:val="13"/>
        <w:tblW w:w="9878" w:type="dxa"/>
        <w:tblInd w:w="0" w:type="dxa"/>
        <w:tblLayout w:type="fixed"/>
        <w:tblCellMar>
          <w:top w:w="0" w:type="dxa"/>
          <w:left w:w="0" w:type="dxa"/>
          <w:bottom w:w="0" w:type="dxa"/>
          <w:right w:w="0" w:type="dxa"/>
        </w:tblCellMar>
      </w:tblPr>
      <w:tblGrid>
        <w:gridCol w:w="2304"/>
        <w:gridCol w:w="7574"/>
      </w:tblGrid>
      <w:tr>
        <w:tblPrEx>
          <w:tblLayout w:type="fixed"/>
          <w:tblCellMar>
            <w:top w:w="0" w:type="dxa"/>
            <w:left w:w="0" w:type="dxa"/>
            <w:bottom w:w="0" w:type="dxa"/>
            <w:right w:w="0" w:type="dxa"/>
          </w:tblCellMar>
        </w:tblPrEx>
        <w:trPr>
          <w:trHeight w:val="567" w:hRule="atLeast"/>
        </w:trPr>
        <w:tc>
          <w:tcPr>
            <w:tcW w:w="230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jc w:val="center"/>
              <w:rPr>
                <w:rFonts w:ascii="宋体" w:hAnsi="宋体" w:eastAsia="宋体" w:cs="宋体"/>
                <w:b/>
                <w:bCs/>
                <w:kern w:val="0"/>
                <w:sz w:val="24"/>
                <w:szCs w:val="24"/>
              </w:rPr>
            </w:pPr>
            <w:r>
              <w:rPr>
                <w:rFonts w:ascii="宋体" w:hAnsi="宋体" w:eastAsia="宋体" w:cs="宋体"/>
                <w:b/>
                <w:bCs/>
                <w:kern w:val="0"/>
                <w:sz w:val="24"/>
                <w:szCs w:val="24"/>
              </w:rPr>
              <w:t>资格审查要求概况</w:t>
            </w:r>
          </w:p>
        </w:tc>
        <w:tc>
          <w:tcPr>
            <w:tcW w:w="757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评审点具体描述</w:t>
            </w:r>
          </w:p>
        </w:tc>
      </w:tr>
      <w:tr>
        <w:tblPrEx>
          <w:tblLayout w:type="fixed"/>
          <w:tblCellMar>
            <w:top w:w="0" w:type="dxa"/>
            <w:left w:w="0" w:type="dxa"/>
            <w:bottom w:w="0" w:type="dxa"/>
            <w:right w:w="0" w:type="dxa"/>
          </w:tblCellMar>
        </w:tblPrEx>
        <w:trPr>
          <w:trHeight w:val="567" w:hRule="atLeast"/>
        </w:trPr>
        <w:tc>
          <w:tcPr>
            <w:tcW w:w="230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资格承诺函</w:t>
            </w:r>
          </w:p>
        </w:tc>
        <w:tc>
          <w:tcPr>
            <w:tcW w:w="757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rPr>
                <w:rFonts w:ascii="宋体" w:hAnsi="宋体" w:eastAsia="宋体" w:cs="宋体"/>
                <w:kern w:val="0"/>
                <w:sz w:val="24"/>
                <w:szCs w:val="24"/>
              </w:rPr>
            </w:pPr>
            <w:r>
              <w:rPr>
                <w:rFonts w:ascii="宋体" w:hAnsi="宋体" w:eastAsia="宋体" w:cs="宋体"/>
                <w:kern w:val="0"/>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Layout w:type="fixed"/>
          <w:tblCellMar>
            <w:top w:w="0" w:type="dxa"/>
            <w:left w:w="0" w:type="dxa"/>
            <w:bottom w:w="0" w:type="dxa"/>
            <w:right w:w="0" w:type="dxa"/>
          </w:tblCellMar>
        </w:tblPrEx>
        <w:trPr>
          <w:trHeight w:val="567" w:hRule="atLeast"/>
        </w:trPr>
        <w:tc>
          <w:tcPr>
            <w:tcW w:w="230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本采购包属于专门面向中小企业采购。</w:t>
            </w:r>
          </w:p>
        </w:tc>
        <w:tc>
          <w:tcPr>
            <w:tcW w:w="757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rPr>
                <w:rFonts w:ascii="宋体" w:hAnsi="宋体" w:eastAsia="宋体" w:cs="宋体"/>
                <w:kern w:val="0"/>
                <w:sz w:val="24"/>
                <w:szCs w:val="24"/>
              </w:rPr>
            </w:pPr>
            <w:r>
              <w:rPr>
                <w:rFonts w:ascii="宋体" w:hAnsi="宋体" w:eastAsia="宋体" w:cs="宋体"/>
                <w:kern w:val="0"/>
                <w:sz w:val="24"/>
                <w:szCs w:val="24"/>
              </w:rPr>
              <w:t>本采购包为专门面向中小企业采购，投标人须提供中小企业声明函。监狱企业、残疾人福利性单位视同小型、微型企业。</w:t>
            </w:r>
          </w:p>
        </w:tc>
      </w:tr>
    </w:tbl>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6.3是否接受联合体投标：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采购包1：不接受</w:t>
      </w:r>
    </w:p>
    <w:p>
      <w:pPr>
        <w:widowControl/>
        <w:shd w:val="clear" w:color="auto" w:fill="FFFFFF"/>
        <w:wordWrap w:val="0"/>
        <w:ind w:firstLine="482" w:firstLineChars="200"/>
        <w:rPr>
          <w:rFonts w:ascii="宋体" w:hAnsi="宋体" w:eastAsia="宋体" w:cs="Noto Sans"/>
          <w:b/>
          <w:bCs/>
          <w:kern w:val="0"/>
          <w:sz w:val="24"/>
          <w:szCs w:val="24"/>
        </w:rPr>
      </w:pPr>
      <w:r>
        <w:rPr>
          <w:rFonts w:ascii="宋体" w:hAnsi="宋体" w:eastAsia="宋体" w:cs="Noto Sans"/>
          <w:b/>
          <w:bCs/>
          <w:kern w:val="0"/>
          <w:sz w:val="24"/>
          <w:szCs w:val="24"/>
        </w:rPr>
        <w:t>※根据上述资格要求，电子投标文件中应提交的“投标人的资格及资信证明文件”详见招标文件第四章。</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7、招标文件的获取</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7.1、招标文件获取期限：详见招标公告或更正公告，若不一致，以更正公告为准。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7.3、获取地点及方式：注册账号后，通过福建省政府采购网上公开信息系统以下载方式获取。</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7.4、招标文件售价：0元。</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8、投标截止</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8.1、投标截止时间：详见招标公告或更正公告，若不一致，以更正公告为准。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8.2、投标人应在投标截止时间前按照福建省政府采购网上公开信息系统设定的操作流程将电子投标文件上传至福建省政府采购网上公开信息系统，否则投标将被拒绝。</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9、开标时间及地点</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详见招标公告或更正公告，若不一致，以更正公告为准。</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10、公告期限</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10.1、招标公告的公告期限：自财政部和福建省财政厅指定的政府采购信息发布媒体最先发布公告之日起5个工作日。</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10.2、招标文件公告期限：招标文件随同招标公告一并发布，其公告期限与招标公告的公告期限保持一致。</w:t>
      </w:r>
    </w:p>
    <w:p>
      <w:pPr>
        <w:widowControl/>
        <w:shd w:val="clear" w:color="auto" w:fill="FFFFFF"/>
        <w:ind w:firstLine="482" w:firstLineChars="200"/>
        <w:jc w:val="left"/>
        <w:outlineLvl w:val="2"/>
        <w:rPr>
          <w:rFonts w:ascii="宋体" w:hAnsi="宋体" w:eastAsia="宋体" w:cs="Noto Sans"/>
          <w:b/>
          <w:bCs/>
          <w:kern w:val="0"/>
          <w:sz w:val="24"/>
          <w:szCs w:val="27"/>
        </w:rPr>
      </w:pPr>
      <w:r>
        <w:rPr>
          <w:rFonts w:ascii="宋体" w:hAnsi="宋体" w:eastAsia="宋体" w:cs="Noto Sans"/>
          <w:b/>
          <w:bCs/>
          <w:kern w:val="0"/>
          <w:sz w:val="24"/>
          <w:szCs w:val="27"/>
        </w:rPr>
        <w:t>11、采购人：福州市产品质量检验所</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地址：仓山区卢滨路372号</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邮编：350028‌</w:t>
      </w:r>
    </w:p>
    <w:p>
      <w:pPr>
        <w:widowControl/>
        <w:shd w:val="clear" w:color="auto" w:fill="FFFFFF"/>
        <w:wordWrap w:val="0"/>
        <w:ind w:firstLine="480" w:firstLineChars="200"/>
        <w:jc w:val="left"/>
        <w:rPr>
          <w:rFonts w:hint="eastAsia" w:ascii="宋体" w:hAnsi="宋体" w:eastAsia="宋体" w:cs="Noto Sans"/>
          <w:kern w:val="0"/>
          <w:sz w:val="24"/>
          <w:szCs w:val="24"/>
          <w:lang w:eastAsia="zh-CN"/>
        </w:rPr>
      </w:pPr>
      <w:r>
        <w:rPr>
          <w:rFonts w:ascii="宋体" w:hAnsi="宋体" w:eastAsia="宋体" w:cs="Noto Sans"/>
          <w:kern w:val="0"/>
          <w:sz w:val="24"/>
          <w:szCs w:val="24"/>
        </w:rPr>
        <w:t>联系人：阮</w:t>
      </w:r>
      <w:r>
        <w:rPr>
          <w:rFonts w:hint="eastAsia" w:ascii="宋体" w:hAnsi="宋体" w:eastAsia="宋体" w:cs="Noto Sans"/>
          <w:kern w:val="0"/>
          <w:sz w:val="24"/>
          <w:szCs w:val="24"/>
          <w:lang w:eastAsia="zh-CN"/>
        </w:rPr>
        <w:t>先生</w:t>
      </w:r>
      <w:bookmarkStart w:id="0" w:name="_GoBack"/>
      <w:bookmarkEnd w:id="0"/>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联系电话：0591-83051972</w:t>
      </w:r>
    </w:p>
    <w:p>
      <w:pPr>
        <w:widowControl/>
        <w:shd w:val="clear" w:color="auto" w:fill="FFFFFF"/>
        <w:ind w:firstLine="482" w:firstLineChars="200"/>
        <w:jc w:val="left"/>
        <w:outlineLvl w:val="2"/>
        <w:rPr>
          <w:rFonts w:ascii="宋体" w:hAnsi="宋体" w:eastAsia="宋体" w:cs="Noto Sans"/>
          <w:b/>
          <w:bCs/>
          <w:kern w:val="0"/>
          <w:sz w:val="24"/>
          <w:szCs w:val="27"/>
        </w:rPr>
      </w:pPr>
      <w:r>
        <w:rPr>
          <w:rFonts w:ascii="宋体" w:hAnsi="宋体" w:eastAsia="宋体" w:cs="Noto Sans"/>
          <w:b/>
          <w:bCs/>
          <w:kern w:val="0"/>
          <w:sz w:val="24"/>
          <w:szCs w:val="27"/>
        </w:rPr>
        <w:t>12、代理机构：福建省承诚招标代理有限公司</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地址：福州市鼓楼区梁厝路2号华雄大厦3号楼17层</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邮编：350001</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联系人：刘坚、李杰</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联系电话：0591-87554016</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附1：账户信息</w:t>
      </w:r>
    </w:p>
    <w:tbl>
      <w:tblPr>
        <w:tblStyle w:val="13"/>
        <w:tblW w:w="9878" w:type="dxa"/>
        <w:tblInd w:w="0" w:type="dxa"/>
        <w:shd w:val="clear" w:color="auto" w:fill="FFFFFF"/>
        <w:tblLayout w:type="fixed"/>
        <w:tblCellMar>
          <w:top w:w="0" w:type="dxa"/>
          <w:left w:w="0" w:type="dxa"/>
          <w:bottom w:w="0" w:type="dxa"/>
          <w:right w:w="0" w:type="dxa"/>
        </w:tblCellMar>
      </w:tblPr>
      <w:tblGrid>
        <w:gridCol w:w="9878"/>
      </w:tblGrid>
      <w:tr>
        <w:tblPrEx>
          <w:shd w:val="clear" w:color="auto" w:fill="FFFFFF"/>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投标保证金账户</w:t>
            </w:r>
          </w:p>
        </w:tc>
      </w:tr>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开户名称： 福建省承诚招标代理有限公司</w:t>
            </w:r>
          </w:p>
        </w:tc>
      </w:tr>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开户银行：供应商在福建省政府采购网上公开信息系统获取招标文件后，根据其提示自行选择要缴交的投标保证金托管银行。</w:t>
            </w:r>
          </w:p>
        </w:tc>
      </w:tr>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特别提示</w:t>
            </w:r>
          </w:p>
        </w:tc>
      </w:tr>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1、投标人应认真核对账户信息，将投标保证金汇入以上账户，并自行承担因汇错投标保证金而产生的一切后果。</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2、投标人在转账或电汇的凭证上应按照以下格式注明，以便核对：“（项目编号：***）的投标保证金”。</w:t>
            </w:r>
          </w:p>
        </w:tc>
      </w:tr>
    </w:tbl>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附2：采购标的一览表</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采购包预算金额（元）: 1,202,000.00</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采购包最高限价（元）: 1,202,000.00</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采购包保证金金额（元）: 12,020.00</w:t>
      </w:r>
    </w:p>
    <w:tbl>
      <w:tblPr>
        <w:tblStyle w:val="13"/>
        <w:tblW w:w="9878" w:type="dxa"/>
        <w:tblInd w:w="0" w:type="dxa"/>
        <w:tblLayout w:type="fixed"/>
        <w:tblCellMar>
          <w:top w:w="0" w:type="dxa"/>
          <w:left w:w="0" w:type="dxa"/>
          <w:bottom w:w="0" w:type="dxa"/>
          <w:right w:w="0" w:type="dxa"/>
        </w:tblCellMar>
      </w:tblPr>
      <w:tblGrid>
        <w:gridCol w:w="987"/>
        <w:gridCol w:w="1975"/>
        <w:gridCol w:w="988"/>
        <w:gridCol w:w="1976"/>
        <w:gridCol w:w="988"/>
        <w:gridCol w:w="1976"/>
        <w:gridCol w:w="988"/>
      </w:tblGrid>
      <w:tr>
        <w:tblPrEx>
          <w:tblLayout w:type="fixed"/>
          <w:tblCellMar>
            <w:top w:w="0" w:type="dxa"/>
            <w:left w:w="0" w:type="dxa"/>
            <w:bottom w:w="0" w:type="dxa"/>
            <w:right w:w="0" w:type="dxa"/>
          </w:tblCellMar>
        </w:tblPrEx>
        <w:trPr>
          <w:trHeight w:val="567" w:hRule="atLeast"/>
        </w:trPr>
        <w:tc>
          <w:tcPr>
            <w:tcW w:w="987"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1975"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标的名称</w:t>
            </w:r>
          </w:p>
        </w:tc>
        <w:tc>
          <w:tcPr>
            <w:tcW w:w="98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数量</w:t>
            </w:r>
          </w:p>
        </w:tc>
        <w:tc>
          <w:tcPr>
            <w:tcW w:w="1976"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标的金额 （元）</w:t>
            </w:r>
          </w:p>
        </w:tc>
        <w:tc>
          <w:tcPr>
            <w:tcW w:w="98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1976"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所属行业</w:t>
            </w:r>
          </w:p>
        </w:tc>
        <w:tc>
          <w:tcPr>
            <w:tcW w:w="98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是否允许进口产品</w:t>
            </w:r>
          </w:p>
        </w:tc>
      </w:tr>
      <w:tr>
        <w:tblPrEx>
          <w:tblLayout w:type="fixed"/>
          <w:tblCellMar>
            <w:top w:w="0" w:type="dxa"/>
            <w:left w:w="0" w:type="dxa"/>
            <w:bottom w:w="0" w:type="dxa"/>
            <w:right w:w="0" w:type="dxa"/>
          </w:tblCellMar>
        </w:tblPrEx>
        <w:trPr>
          <w:trHeight w:val="567" w:hRule="atLeast"/>
        </w:trPr>
        <w:tc>
          <w:tcPr>
            <w:tcW w:w="98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197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烟气分析仪</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1.00</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300,000.00</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工业</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否</w:t>
            </w:r>
          </w:p>
        </w:tc>
      </w:tr>
      <w:tr>
        <w:tblPrEx>
          <w:tblLayout w:type="fixed"/>
          <w:tblCellMar>
            <w:top w:w="0" w:type="dxa"/>
            <w:left w:w="0" w:type="dxa"/>
            <w:bottom w:w="0" w:type="dxa"/>
            <w:right w:w="0" w:type="dxa"/>
          </w:tblCellMar>
        </w:tblPrEx>
        <w:trPr>
          <w:trHeight w:val="567" w:hRule="atLeast"/>
        </w:trPr>
        <w:tc>
          <w:tcPr>
            <w:tcW w:w="98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2</w:t>
            </w:r>
          </w:p>
        </w:tc>
        <w:tc>
          <w:tcPr>
            <w:tcW w:w="197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温湿度试验箱</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1.00</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165,000.00</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工业</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否</w:t>
            </w:r>
          </w:p>
        </w:tc>
      </w:tr>
      <w:tr>
        <w:tblPrEx>
          <w:tblLayout w:type="fixed"/>
          <w:tblCellMar>
            <w:top w:w="0" w:type="dxa"/>
            <w:left w:w="0" w:type="dxa"/>
            <w:bottom w:w="0" w:type="dxa"/>
            <w:right w:w="0" w:type="dxa"/>
          </w:tblCellMar>
        </w:tblPrEx>
        <w:trPr>
          <w:trHeight w:val="567" w:hRule="atLeast"/>
        </w:trPr>
        <w:tc>
          <w:tcPr>
            <w:tcW w:w="98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w:t>
            </w:r>
          </w:p>
        </w:tc>
        <w:tc>
          <w:tcPr>
            <w:tcW w:w="197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电动振动台</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1.00</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57,000.00</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工业</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否</w:t>
            </w:r>
          </w:p>
        </w:tc>
      </w:tr>
      <w:tr>
        <w:tblPrEx>
          <w:tblLayout w:type="fixed"/>
          <w:tblCellMar>
            <w:top w:w="0" w:type="dxa"/>
            <w:left w:w="0" w:type="dxa"/>
            <w:bottom w:w="0" w:type="dxa"/>
            <w:right w:w="0" w:type="dxa"/>
          </w:tblCellMar>
        </w:tblPrEx>
        <w:trPr>
          <w:trHeight w:val="567" w:hRule="atLeast"/>
        </w:trPr>
        <w:tc>
          <w:tcPr>
            <w:tcW w:w="98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4</w:t>
            </w:r>
          </w:p>
        </w:tc>
        <w:tc>
          <w:tcPr>
            <w:tcW w:w="197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商用燃气灶具综合性能测试系统</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1.00</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360,000.00</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工业</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否</w:t>
            </w:r>
          </w:p>
        </w:tc>
      </w:tr>
      <w:tr>
        <w:tblPrEx>
          <w:tblLayout w:type="fixed"/>
          <w:tblCellMar>
            <w:top w:w="0" w:type="dxa"/>
            <w:left w:w="0" w:type="dxa"/>
            <w:bottom w:w="0" w:type="dxa"/>
            <w:right w:w="0" w:type="dxa"/>
          </w:tblCellMar>
        </w:tblPrEx>
        <w:trPr>
          <w:trHeight w:val="567" w:hRule="atLeast"/>
        </w:trPr>
        <w:tc>
          <w:tcPr>
            <w:tcW w:w="98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5</w:t>
            </w:r>
          </w:p>
        </w:tc>
        <w:tc>
          <w:tcPr>
            <w:tcW w:w="197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家用燃气灶具综合性能测试系统</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1.00</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320,000.00</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9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工业</w:t>
            </w:r>
          </w:p>
        </w:tc>
        <w:tc>
          <w:tcPr>
            <w:tcW w:w="9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否</w:t>
            </w:r>
          </w:p>
        </w:tc>
      </w:tr>
    </w:tbl>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本国产品标准适用范围：</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tbl>
      <w:tblPr>
        <w:tblStyle w:val="13"/>
        <w:tblW w:w="9878" w:type="dxa"/>
        <w:tblInd w:w="0" w:type="dxa"/>
        <w:tblLayout w:type="fixed"/>
        <w:tblCellMar>
          <w:top w:w="0" w:type="dxa"/>
          <w:left w:w="0" w:type="dxa"/>
          <w:bottom w:w="0" w:type="dxa"/>
          <w:right w:w="0" w:type="dxa"/>
        </w:tblCellMar>
      </w:tblPr>
      <w:tblGrid>
        <w:gridCol w:w="1352"/>
        <w:gridCol w:w="2470"/>
        <w:gridCol w:w="3586"/>
        <w:gridCol w:w="2470"/>
      </w:tblGrid>
      <w:tr>
        <w:tblPrEx>
          <w:tblLayout w:type="fixed"/>
          <w:tblCellMar>
            <w:top w:w="0" w:type="dxa"/>
            <w:left w:w="0" w:type="dxa"/>
            <w:bottom w:w="0" w:type="dxa"/>
            <w:right w:w="0" w:type="dxa"/>
          </w:tblCellMar>
        </w:tblPrEx>
        <w:trPr>
          <w:trHeight w:val="567" w:hRule="atLeast"/>
        </w:trPr>
        <w:tc>
          <w:tcPr>
            <w:tcW w:w="1352"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序号</w:t>
            </w:r>
          </w:p>
        </w:tc>
        <w:tc>
          <w:tcPr>
            <w:tcW w:w="247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采购品目名称</w:t>
            </w:r>
          </w:p>
        </w:tc>
        <w:tc>
          <w:tcPr>
            <w:tcW w:w="3586"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标的名称</w:t>
            </w:r>
          </w:p>
        </w:tc>
        <w:tc>
          <w:tcPr>
            <w:tcW w:w="247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产品名称</w:t>
            </w:r>
          </w:p>
        </w:tc>
      </w:tr>
      <w:tr>
        <w:tblPrEx>
          <w:tblLayout w:type="fixed"/>
          <w:tblCellMar>
            <w:top w:w="0" w:type="dxa"/>
            <w:left w:w="0" w:type="dxa"/>
            <w:bottom w:w="0" w:type="dxa"/>
            <w:right w:w="0" w:type="dxa"/>
          </w:tblCellMar>
        </w:tblPrEx>
        <w:trPr>
          <w:trHeight w:val="567" w:hRule="atLeast"/>
        </w:trPr>
        <w:tc>
          <w:tcPr>
            <w:tcW w:w="135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其他试验仪器及装置</w:t>
            </w:r>
          </w:p>
        </w:tc>
        <w:tc>
          <w:tcPr>
            <w:tcW w:w="35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烟气分析仪</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烟气分析仪</w:t>
            </w:r>
          </w:p>
        </w:tc>
      </w:tr>
      <w:tr>
        <w:tblPrEx>
          <w:tblLayout w:type="fixed"/>
          <w:tblCellMar>
            <w:top w:w="0" w:type="dxa"/>
            <w:left w:w="0" w:type="dxa"/>
            <w:bottom w:w="0" w:type="dxa"/>
            <w:right w:w="0" w:type="dxa"/>
          </w:tblCellMar>
        </w:tblPrEx>
        <w:trPr>
          <w:trHeight w:val="567" w:hRule="atLeast"/>
        </w:trPr>
        <w:tc>
          <w:tcPr>
            <w:tcW w:w="135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2</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其他试验仪器及装置</w:t>
            </w:r>
          </w:p>
        </w:tc>
        <w:tc>
          <w:tcPr>
            <w:tcW w:w="35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温湿度试验箱</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温湿度试验箱</w:t>
            </w:r>
          </w:p>
        </w:tc>
      </w:tr>
      <w:tr>
        <w:tblPrEx>
          <w:tblLayout w:type="fixed"/>
          <w:tblCellMar>
            <w:top w:w="0" w:type="dxa"/>
            <w:left w:w="0" w:type="dxa"/>
            <w:bottom w:w="0" w:type="dxa"/>
            <w:right w:w="0" w:type="dxa"/>
          </w:tblCellMar>
        </w:tblPrEx>
        <w:trPr>
          <w:trHeight w:val="567" w:hRule="atLeast"/>
        </w:trPr>
        <w:tc>
          <w:tcPr>
            <w:tcW w:w="135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其他试验仪器及装置</w:t>
            </w:r>
          </w:p>
        </w:tc>
        <w:tc>
          <w:tcPr>
            <w:tcW w:w="35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电动振动台</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电动振动台</w:t>
            </w:r>
          </w:p>
        </w:tc>
      </w:tr>
      <w:tr>
        <w:tblPrEx>
          <w:tblLayout w:type="fixed"/>
          <w:tblCellMar>
            <w:top w:w="0" w:type="dxa"/>
            <w:left w:w="0" w:type="dxa"/>
            <w:bottom w:w="0" w:type="dxa"/>
            <w:right w:w="0" w:type="dxa"/>
          </w:tblCellMar>
        </w:tblPrEx>
        <w:trPr>
          <w:trHeight w:val="567" w:hRule="atLeast"/>
        </w:trPr>
        <w:tc>
          <w:tcPr>
            <w:tcW w:w="135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4</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其他试验仪器及装置</w:t>
            </w:r>
          </w:p>
        </w:tc>
        <w:tc>
          <w:tcPr>
            <w:tcW w:w="35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商用燃气灶具综合性能测试系统</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商用燃气灶具综合性能测试系统</w:t>
            </w:r>
          </w:p>
        </w:tc>
      </w:tr>
      <w:tr>
        <w:tblPrEx>
          <w:tblLayout w:type="fixed"/>
          <w:tblCellMar>
            <w:top w:w="0" w:type="dxa"/>
            <w:left w:w="0" w:type="dxa"/>
            <w:bottom w:w="0" w:type="dxa"/>
            <w:right w:w="0" w:type="dxa"/>
          </w:tblCellMar>
        </w:tblPrEx>
        <w:trPr>
          <w:trHeight w:val="567" w:hRule="atLeast"/>
        </w:trPr>
        <w:tc>
          <w:tcPr>
            <w:tcW w:w="135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5</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其他试验仪器及装置</w:t>
            </w:r>
          </w:p>
        </w:tc>
        <w:tc>
          <w:tcPr>
            <w:tcW w:w="35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家用燃气灶具综合性能测试系统</w:t>
            </w:r>
          </w:p>
        </w:tc>
        <w:tc>
          <w:tcPr>
            <w:tcW w:w="24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家用燃气灶具综合性能测试系统</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（1）报价要求：</w:t>
      </w:r>
    </w:p>
    <w:tbl>
      <w:tblPr>
        <w:tblStyle w:val="13"/>
        <w:tblW w:w="9878" w:type="dxa"/>
        <w:tblInd w:w="0" w:type="dxa"/>
        <w:tblLayout w:type="fixed"/>
        <w:tblCellMar>
          <w:top w:w="0" w:type="dxa"/>
          <w:left w:w="0" w:type="dxa"/>
          <w:bottom w:w="0" w:type="dxa"/>
          <w:right w:w="0" w:type="dxa"/>
        </w:tblCellMar>
      </w:tblPr>
      <w:tblGrid>
        <w:gridCol w:w="659"/>
        <w:gridCol w:w="3688"/>
        <w:gridCol w:w="893"/>
        <w:gridCol w:w="893"/>
        <w:gridCol w:w="1823"/>
        <w:gridCol w:w="1436"/>
        <w:gridCol w:w="486"/>
      </w:tblGrid>
      <w:tr>
        <w:tblPrEx>
          <w:tblLayout w:type="fixed"/>
          <w:tblCellMar>
            <w:top w:w="0" w:type="dxa"/>
            <w:left w:w="0" w:type="dxa"/>
            <w:bottom w:w="0" w:type="dxa"/>
            <w:right w:w="0" w:type="dxa"/>
          </w:tblCellMar>
        </w:tblPrEx>
        <w:trPr>
          <w:trHeight w:val="567" w:hRule="atLeast"/>
        </w:trPr>
        <w:tc>
          <w:tcPr>
            <w:tcW w:w="65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368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报价内容</w:t>
            </w:r>
          </w:p>
        </w:tc>
        <w:tc>
          <w:tcPr>
            <w:tcW w:w="893"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893"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报价单位</w:t>
            </w:r>
          </w:p>
        </w:tc>
        <w:tc>
          <w:tcPr>
            <w:tcW w:w="1823"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436"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价款形式</w:t>
            </w:r>
          </w:p>
        </w:tc>
        <w:tc>
          <w:tcPr>
            <w:tcW w:w="486"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报价说明</w:t>
            </w:r>
          </w:p>
        </w:tc>
      </w:tr>
      <w:tr>
        <w:tblPrEx>
          <w:tblLayout w:type="fixed"/>
          <w:tblCellMar>
            <w:top w:w="0" w:type="dxa"/>
            <w:left w:w="0" w:type="dxa"/>
            <w:bottom w:w="0" w:type="dxa"/>
            <w:right w:w="0" w:type="dxa"/>
          </w:tblCellMar>
        </w:tblPrEx>
        <w:trPr>
          <w:trHeight w:val="567" w:hRule="atLeast"/>
        </w:trPr>
        <w:tc>
          <w:tcPr>
            <w:tcW w:w="65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36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烟气分析仪</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82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300,000.00</w:t>
            </w:r>
          </w:p>
        </w:tc>
        <w:tc>
          <w:tcPr>
            <w:tcW w:w="143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4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r>
        <w:tblPrEx>
          <w:tblLayout w:type="fixed"/>
          <w:tblCellMar>
            <w:top w:w="0" w:type="dxa"/>
            <w:left w:w="0" w:type="dxa"/>
            <w:bottom w:w="0" w:type="dxa"/>
            <w:right w:w="0" w:type="dxa"/>
          </w:tblCellMar>
        </w:tblPrEx>
        <w:trPr>
          <w:trHeight w:val="567" w:hRule="atLeast"/>
        </w:trPr>
        <w:tc>
          <w:tcPr>
            <w:tcW w:w="65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2</w:t>
            </w:r>
          </w:p>
        </w:tc>
        <w:tc>
          <w:tcPr>
            <w:tcW w:w="36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温湿度试验箱</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82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165,000.00</w:t>
            </w:r>
          </w:p>
        </w:tc>
        <w:tc>
          <w:tcPr>
            <w:tcW w:w="143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4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r>
        <w:tblPrEx>
          <w:tblLayout w:type="fixed"/>
          <w:tblCellMar>
            <w:top w:w="0" w:type="dxa"/>
            <w:left w:w="0" w:type="dxa"/>
            <w:bottom w:w="0" w:type="dxa"/>
            <w:right w:w="0" w:type="dxa"/>
          </w:tblCellMar>
        </w:tblPrEx>
        <w:trPr>
          <w:trHeight w:val="567" w:hRule="atLeast"/>
        </w:trPr>
        <w:tc>
          <w:tcPr>
            <w:tcW w:w="65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w:t>
            </w:r>
          </w:p>
        </w:tc>
        <w:tc>
          <w:tcPr>
            <w:tcW w:w="36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电动振动台</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82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57,000.00</w:t>
            </w:r>
          </w:p>
        </w:tc>
        <w:tc>
          <w:tcPr>
            <w:tcW w:w="143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4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r>
        <w:tblPrEx>
          <w:tblLayout w:type="fixed"/>
          <w:tblCellMar>
            <w:top w:w="0" w:type="dxa"/>
            <w:left w:w="0" w:type="dxa"/>
            <w:bottom w:w="0" w:type="dxa"/>
            <w:right w:w="0" w:type="dxa"/>
          </w:tblCellMar>
        </w:tblPrEx>
        <w:trPr>
          <w:trHeight w:val="567" w:hRule="atLeast"/>
        </w:trPr>
        <w:tc>
          <w:tcPr>
            <w:tcW w:w="65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4</w:t>
            </w:r>
          </w:p>
        </w:tc>
        <w:tc>
          <w:tcPr>
            <w:tcW w:w="36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商用燃气灶具综合性能测试系统</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82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360,000.00</w:t>
            </w:r>
          </w:p>
        </w:tc>
        <w:tc>
          <w:tcPr>
            <w:tcW w:w="143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4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r>
        <w:tblPrEx>
          <w:tblLayout w:type="fixed"/>
          <w:tblCellMar>
            <w:top w:w="0" w:type="dxa"/>
            <w:left w:w="0" w:type="dxa"/>
            <w:bottom w:w="0" w:type="dxa"/>
            <w:right w:w="0" w:type="dxa"/>
          </w:tblCellMar>
        </w:tblPrEx>
        <w:trPr>
          <w:trHeight w:val="567" w:hRule="atLeast"/>
        </w:trPr>
        <w:tc>
          <w:tcPr>
            <w:tcW w:w="65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5</w:t>
            </w:r>
          </w:p>
        </w:tc>
        <w:tc>
          <w:tcPr>
            <w:tcW w:w="368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家用燃气灶具综合性能测试系统</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89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82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320,000.00</w:t>
            </w:r>
          </w:p>
        </w:tc>
        <w:tc>
          <w:tcPr>
            <w:tcW w:w="143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48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（2）报价明细要求：</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烟气分析仪</w:t>
      </w:r>
    </w:p>
    <w:tbl>
      <w:tblPr>
        <w:tblStyle w:val="13"/>
        <w:tblW w:w="9878" w:type="dxa"/>
        <w:tblInd w:w="0" w:type="dxa"/>
        <w:tblLayout w:type="fixed"/>
        <w:tblCellMar>
          <w:top w:w="0" w:type="dxa"/>
          <w:left w:w="0" w:type="dxa"/>
          <w:bottom w:w="0" w:type="dxa"/>
          <w:right w:w="0" w:type="dxa"/>
        </w:tblCellMar>
      </w:tblPr>
      <w:tblGrid>
        <w:gridCol w:w="658"/>
        <w:gridCol w:w="2199"/>
        <w:gridCol w:w="2199"/>
        <w:gridCol w:w="658"/>
        <w:gridCol w:w="658"/>
        <w:gridCol w:w="1041"/>
        <w:gridCol w:w="1041"/>
        <w:gridCol w:w="1424"/>
      </w:tblGrid>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报价明细内容</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报价要求</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报价单位</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价款形式</w:t>
            </w:r>
          </w:p>
        </w:tc>
        <w:tc>
          <w:tcPr>
            <w:tcW w:w="142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报价说明</w:t>
            </w:r>
          </w:p>
        </w:tc>
      </w:tr>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烟气分析仪</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烟气分析仪</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300,000.00</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14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温湿度试验箱</w:t>
      </w:r>
    </w:p>
    <w:tbl>
      <w:tblPr>
        <w:tblStyle w:val="13"/>
        <w:tblW w:w="9878" w:type="dxa"/>
        <w:tblInd w:w="0" w:type="dxa"/>
        <w:tblLayout w:type="fixed"/>
        <w:tblCellMar>
          <w:top w:w="0" w:type="dxa"/>
          <w:left w:w="0" w:type="dxa"/>
          <w:bottom w:w="0" w:type="dxa"/>
          <w:right w:w="0" w:type="dxa"/>
        </w:tblCellMar>
      </w:tblPr>
      <w:tblGrid>
        <w:gridCol w:w="658"/>
        <w:gridCol w:w="2199"/>
        <w:gridCol w:w="2199"/>
        <w:gridCol w:w="658"/>
        <w:gridCol w:w="658"/>
        <w:gridCol w:w="1041"/>
        <w:gridCol w:w="1041"/>
        <w:gridCol w:w="1424"/>
      </w:tblGrid>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报价明细内容</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报价要求</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报价单位</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价款形式</w:t>
            </w:r>
          </w:p>
        </w:tc>
        <w:tc>
          <w:tcPr>
            <w:tcW w:w="142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报价说明</w:t>
            </w:r>
          </w:p>
        </w:tc>
      </w:tr>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温湿度试验箱</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温湿度试验箱</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165,000.00</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14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电动振动台</w:t>
      </w:r>
    </w:p>
    <w:tbl>
      <w:tblPr>
        <w:tblStyle w:val="13"/>
        <w:tblW w:w="9878" w:type="dxa"/>
        <w:tblInd w:w="0" w:type="dxa"/>
        <w:tblLayout w:type="fixed"/>
        <w:tblCellMar>
          <w:top w:w="0" w:type="dxa"/>
          <w:left w:w="0" w:type="dxa"/>
          <w:bottom w:w="0" w:type="dxa"/>
          <w:right w:w="0" w:type="dxa"/>
        </w:tblCellMar>
      </w:tblPr>
      <w:tblGrid>
        <w:gridCol w:w="658"/>
        <w:gridCol w:w="2199"/>
        <w:gridCol w:w="2199"/>
        <w:gridCol w:w="658"/>
        <w:gridCol w:w="658"/>
        <w:gridCol w:w="1041"/>
        <w:gridCol w:w="1041"/>
        <w:gridCol w:w="1424"/>
      </w:tblGrid>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报价明细内容</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报价要求</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报价单位</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价款形式</w:t>
            </w:r>
          </w:p>
        </w:tc>
        <w:tc>
          <w:tcPr>
            <w:tcW w:w="142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报价说明</w:t>
            </w:r>
          </w:p>
        </w:tc>
      </w:tr>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电动振动台</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电动振动台</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57,000.00</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14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商用燃气灶具综合性能测试系统</w:t>
      </w:r>
    </w:p>
    <w:tbl>
      <w:tblPr>
        <w:tblStyle w:val="13"/>
        <w:tblW w:w="9878" w:type="dxa"/>
        <w:tblInd w:w="0" w:type="dxa"/>
        <w:tblLayout w:type="fixed"/>
        <w:tblCellMar>
          <w:top w:w="0" w:type="dxa"/>
          <w:left w:w="0" w:type="dxa"/>
          <w:bottom w:w="0" w:type="dxa"/>
          <w:right w:w="0" w:type="dxa"/>
        </w:tblCellMar>
      </w:tblPr>
      <w:tblGrid>
        <w:gridCol w:w="658"/>
        <w:gridCol w:w="2199"/>
        <w:gridCol w:w="2199"/>
        <w:gridCol w:w="658"/>
        <w:gridCol w:w="658"/>
        <w:gridCol w:w="1041"/>
        <w:gridCol w:w="1041"/>
        <w:gridCol w:w="1424"/>
      </w:tblGrid>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报价明细内容</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报价要求</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报价单位</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价款形式</w:t>
            </w:r>
          </w:p>
        </w:tc>
        <w:tc>
          <w:tcPr>
            <w:tcW w:w="142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报价说明</w:t>
            </w:r>
          </w:p>
        </w:tc>
      </w:tr>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商用燃气灶具综合性能测试系统</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商用燃气灶具综合性能测试系统</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360,000.00</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14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家用燃气灶具综合性能测试系统</w:t>
      </w:r>
    </w:p>
    <w:tbl>
      <w:tblPr>
        <w:tblStyle w:val="13"/>
        <w:tblW w:w="9878" w:type="dxa"/>
        <w:tblInd w:w="0" w:type="dxa"/>
        <w:tblLayout w:type="fixed"/>
        <w:tblCellMar>
          <w:top w:w="0" w:type="dxa"/>
          <w:left w:w="0" w:type="dxa"/>
          <w:bottom w:w="0" w:type="dxa"/>
          <w:right w:w="0" w:type="dxa"/>
        </w:tblCellMar>
      </w:tblPr>
      <w:tblGrid>
        <w:gridCol w:w="658"/>
        <w:gridCol w:w="2199"/>
        <w:gridCol w:w="2199"/>
        <w:gridCol w:w="658"/>
        <w:gridCol w:w="658"/>
        <w:gridCol w:w="1041"/>
        <w:gridCol w:w="1041"/>
        <w:gridCol w:w="1424"/>
      </w:tblGrid>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报价明细内容</w:t>
            </w:r>
          </w:p>
        </w:tc>
        <w:tc>
          <w:tcPr>
            <w:tcW w:w="21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报价要求</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65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报价单位</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0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价款形式</w:t>
            </w:r>
          </w:p>
        </w:tc>
        <w:tc>
          <w:tcPr>
            <w:tcW w:w="142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报价说明</w:t>
            </w:r>
          </w:p>
        </w:tc>
      </w:tr>
      <w:tr>
        <w:tblPrEx>
          <w:tblLayout w:type="fixed"/>
          <w:tblCellMar>
            <w:top w:w="0" w:type="dxa"/>
            <w:left w:w="0" w:type="dxa"/>
            <w:bottom w:w="0" w:type="dxa"/>
            <w:right w:w="0" w:type="dxa"/>
          </w:tblCellMar>
        </w:tblPrEx>
        <w:trPr>
          <w:trHeight w:val="567" w:hRule="atLeast"/>
        </w:trPr>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家用燃气灶具综合性能测试系统</w:t>
            </w:r>
          </w:p>
        </w:tc>
        <w:tc>
          <w:tcPr>
            <w:tcW w:w="2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家用燃气灶具综合性能测试系统</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65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元</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320,000.00</w:t>
            </w:r>
          </w:p>
        </w:tc>
        <w:tc>
          <w:tcPr>
            <w:tcW w:w="10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c>
          <w:tcPr>
            <w:tcW w:w="14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1"/>
        <w:rPr>
          <w:rFonts w:ascii="宋体" w:hAnsi="宋体" w:eastAsia="宋体" w:cs="Noto Sans"/>
          <w:b/>
          <w:kern w:val="0"/>
          <w:sz w:val="24"/>
          <w:szCs w:val="39"/>
        </w:rPr>
      </w:pPr>
      <w:r>
        <w:rPr>
          <w:rFonts w:ascii="宋体" w:hAnsi="宋体" w:eastAsia="宋体" w:cs="Noto Sans"/>
          <w:kern w:val="0"/>
          <w:sz w:val="36"/>
          <w:szCs w:val="39"/>
        </w:rPr>
        <w:br w:type="page"/>
      </w:r>
      <w:r>
        <w:rPr>
          <w:rFonts w:ascii="宋体" w:hAnsi="宋体" w:eastAsia="宋体" w:cs="Noto Sans"/>
          <w:b/>
          <w:kern w:val="0"/>
          <w:sz w:val="36"/>
          <w:szCs w:val="39"/>
        </w:rPr>
        <w:t>第二章 投标人须知前附表</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一、投标人须知前附表1</w:t>
      </w:r>
    </w:p>
    <w:tbl>
      <w:tblPr>
        <w:tblStyle w:val="13"/>
        <w:tblW w:w="9878" w:type="dxa"/>
        <w:tblInd w:w="0" w:type="dxa"/>
        <w:shd w:val="clear" w:color="auto" w:fill="FFFFFF"/>
        <w:tblLayout w:type="fixed"/>
        <w:tblCellMar>
          <w:top w:w="0" w:type="dxa"/>
          <w:left w:w="0" w:type="dxa"/>
          <w:bottom w:w="0" w:type="dxa"/>
          <w:right w:w="0" w:type="dxa"/>
        </w:tblCellMar>
      </w:tblPr>
      <w:tblGrid>
        <w:gridCol w:w="480"/>
        <w:gridCol w:w="840"/>
        <w:gridCol w:w="8558"/>
      </w:tblGrid>
      <w:tr>
        <w:tblPrEx>
          <w:shd w:val="clear" w:color="auto" w:fill="FFFFFF"/>
          <w:tblLayout w:type="fixed"/>
          <w:tblCellMar>
            <w:top w:w="0" w:type="dxa"/>
            <w:left w:w="0" w:type="dxa"/>
            <w:bottom w:w="0" w:type="dxa"/>
            <w:right w:w="0" w:type="dxa"/>
          </w:tblCellMar>
        </w:tblPrEx>
        <w:trPr>
          <w:trHeight w:val="567" w:hRule="atLeast"/>
        </w:trPr>
        <w:tc>
          <w:tcPr>
            <w:tcW w:w="9878" w:type="dxa"/>
            <w:gridSpan w:val="3"/>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特别提示：本表与招标文件对应章节的内容若不一致，以本表为准。</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序号</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招标文件</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（第三章）</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编列内容</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6.1</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是否组织现场考察或召开开标前答疑会：</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采购包1：不组织</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10.4</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投标文件的份数：</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（1）可读介质（光盘或U盘） 0 份：投标人应将其上传至福建省政府采购网上公开信息系统的电子投标文件在该可读介质中另存 0 份。</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（2）电子投标文件：详见投标人须知前附表2《关于电子招标投标活动的专门规定》。</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3</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10.7-（1）</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是否允许中标人将本项目的非主体、非关键性工作进行分包：</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采购包1：不允许合同分包；</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4</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10.8-（1）</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投标有效期：投标截止时间起 90 个日历日。</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5</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12.1</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确定中标候选人名单：</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采购包1：1名</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6</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12.2</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本项目中标人的确定（以采购包为单位）：</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 采购人应在政府采购招投标管理办法规定的时限内确定中标人。</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（2）若出现中标候选人并列情形，则按照下列方式确定中标人：</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①</w:t>
            </w:r>
            <w:r>
              <w:rPr>
                <w:rFonts w:ascii="宋体" w:hAnsi="宋体" w:eastAsia="宋体" w:cs="Noto Sans"/>
                <w:kern w:val="0"/>
                <w:sz w:val="24"/>
                <w:szCs w:val="24"/>
              </w:rPr>
              <w:t>招标文件规定的方式：</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无</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②</w:t>
            </w:r>
            <w:r>
              <w:rPr>
                <w:rFonts w:ascii="宋体" w:hAnsi="宋体" w:eastAsia="宋体" w:cs="Noto Sans"/>
                <w:kern w:val="0"/>
                <w:sz w:val="24"/>
                <w:szCs w:val="24"/>
              </w:rPr>
              <w:t>若本款第</w:t>
            </w:r>
            <w:r>
              <w:rPr>
                <w:rFonts w:ascii="宋体" w:hAnsi="宋体" w:eastAsia="宋体" w:cs="宋体"/>
                <w:kern w:val="0"/>
                <w:sz w:val="24"/>
                <w:szCs w:val="24"/>
              </w:rPr>
              <w:t>①</w:t>
            </w:r>
            <w:r>
              <w:rPr>
                <w:rFonts w:ascii="宋体" w:hAnsi="宋体" w:eastAsia="宋体" w:cs="Noto Sans"/>
                <w:kern w:val="0"/>
                <w:sz w:val="24"/>
                <w:szCs w:val="24"/>
              </w:rPr>
              <w:t>点规定方式为“无”，则按照下列方式确定：</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无</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③</w:t>
            </w:r>
            <w:r>
              <w:rPr>
                <w:rFonts w:ascii="宋体" w:hAnsi="宋体" w:eastAsia="宋体" w:cs="Noto Sans"/>
                <w:kern w:val="0"/>
                <w:sz w:val="24"/>
                <w:szCs w:val="24"/>
              </w:rPr>
              <w:t>若本款第</w:t>
            </w:r>
            <w:r>
              <w:rPr>
                <w:rFonts w:ascii="宋体" w:hAnsi="宋体" w:eastAsia="宋体" w:cs="宋体"/>
                <w:kern w:val="0"/>
                <w:sz w:val="24"/>
                <w:szCs w:val="24"/>
              </w:rPr>
              <w:t>①</w:t>
            </w:r>
            <w:r>
              <w:rPr>
                <w:rFonts w:ascii="宋体" w:hAnsi="宋体" w:eastAsia="宋体" w:cs="Noto Sans"/>
                <w:kern w:val="0"/>
                <w:sz w:val="24"/>
                <w:szCs w:val="24"/>
              </w:rPr>
              <w:t>、</w:t>
            </w:r>
            <w:r>
              <w:rPr>
                <w:rFonts w:ascii="宋体" w:hAnsi="宋体" w:eastAsia="宋体" w:cs="宋体"/>
                <w:kern w:val="0"/>
                <w:sz w:val="24"/>
                <w:szCs w:val="24"/>
              </w:rPr>
              <w:t>②</w:t>
            </w:r>
            <w:r>
              <w:rPr>
                <w:rFonts w:ascii="宋体" w:hAnsi="宋体" w:eastAsia="宋体" w:cs="Noto Sans"/>
                <w:kern w:val="0"/>
                <w:sz w:val="24"/>
                <w:szCs w:val="24"/>
              </w:rPr>
              <w:t>点规定方式均为“无”，则按照下列方式确定：随机抽取。</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（3）本项目确定的中标人家数：</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采购包1：1名</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7</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13.2</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合同签订时限： 自中标通知书发出之日起30个日历日内。</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8</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15.1-（2）</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质疑函原件应采用下列方式提交：书面形式。</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9</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15.4</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招标文件的质疑</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（1）潜在投标人可在质疑时效期间内对招标文件以书面形式提出质疑。</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（2）质疑时效期间：应在依法获取招标文件之日起7个工作日内向 福建省承诚招标代理有限公司 提出，依法获取招标文件的时间以福建省政府采购网上公开信息系统记载的为准。</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※除上述规定外，对招标文件提出的质疑还应符合招标文件第三章第15.1条的有关规定。</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10</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16.1</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监督管理部门： 福州市财政局 （仅限依法进行政府采购的货物或服务类项目）。</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11</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18.1</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财政部和福建省财政厅指定的政府采购信息发布媒体（以下简称：“指定媒体”）：</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（1）中国政府采购网，网址www.ccgp.gov.cn。</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（2）中国政府采购网福建分网（福建省政府采购网），网址zfcg.czt.fujian.gov.cn。</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※若出现上述指定媒体信息不一致情形，应以中国政府采购网福建分网（福建省政府采购网）发布的为准。</w:t>
            </w:r>
          </w:p>
        </w:tc>
      </w:tr>
      <w:tr>
        <w:tblPrEx>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12</w:t>
            </w:r>
          </w:p>
        </w:tc>
        <w:tc>
          <w:tcPr>
            <w:tcW w:w="84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19</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其他事项：</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(1)本项目代理服务费：</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本项目收取代理服务费</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代理服务费用收取对象：中标/成交供应商</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代理服务费收费标准：本项目招标代理服务费由中标人支付，招标文件内若有冲突条款的，以本条规定为准；代理服务费收费标准：以中标（成交）金额作为计算基数，按差额定率分档累进法计算收取代理服务费用，中标（成交）金额100万元以下收费费率标准1.5%，中标（成交）金额100-500万元收费费率标准1.1%；中标人应在领取中标通知书前以转账、电汇付款方式一次性向招标代理人缴纳中标服务费。（以下账号只能转中标服务费）开户名：福建省承诚招标代理有限公司；开户行：中国工商银行福州市晋安支行；账号：1402028109600026871。</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(2)其他：</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①</w:t>
            </w:r>
            <w:r>
              <w:rPr>
                <w:rFonts w:ascii="宋体" w:hAnsi="宋体" w:eastAsia="宋体" w:cs="Noto Sans"/>
                <w:kern w:val="0"/>
                <w:sz w:val="24"/>
                <w:szCs w:val="24"/>
              </w:rPr>
              <w:t>投标人在递交质疑函时除应提供本招标文件规定的相关材料外，还须提供福建省政府采购网上公开信息系统本项目的报名截图复印件，否则递交的质疑函将不予受理。在法定质疑期内质疑人须一次性提出针对同一采购程序环节的质疑，二（多）次质疑不予受理。</w:t>
            </w:r>
            <w:r>
              <w:rPr>
                <w:rFonts w:ascii="宋体" w:hAnsi="宋体" w:eastAsia="宋体" w:cs="宋体"/>
                <w:kern w:val="0"/>
                <w:sz w:val="24"/>
                <w:szCs w:val="24"/>
              </w:rPr>
              <w:t>②</w:t>
            </w:r>
            <w:r>
              <w:rPr>
                <w:rFonts w:ascii="宋体" w:hAnsi="宋体" w:eastAsia="宋体" w:cs="Noto Sans"/>
                <w:kern w:val="0"/>
                <w:sz w:val="24"/>
                <w:szCs w:val="24"/>
              </w:rPr>
              <w:t>上述及招标文件要求的其他证明材料若有注明复印件无效，均视为有效，若有要求查询原件的情况下投标人应有原件随时备查。</w:t>
            </w:r>
            <w:r>
              <w:rPr>
                <w:rFonts w:ascii="宋体" w:hAnsi="宋体" w:eastAsia="宋体" w:cs="宋体"/>
                <w:kern w:val="0"/>
                <w:sz w:val="24"/>
                <w:szCs w:val="24"/>
              </w:rPr>
              <w:t>③</w:t>
            </w:r>
            <w:r>
              <w:rPr>
                <w:rFonts w:ascii="宋体" w:hAnsi="宋体" w:eastAsia="宋体" w:cs="Noto Sans"/>
                <w:kern w:val="0"/>
                <w:sz w:val="24"/>
                <w:szCs w:val="24"/>
              </w:rPr>
              <w:t xml:space="preserve">投标人针对招标文件中一般资格证明文件 “财务状况报告”若选择提供资信证明复印件的，无需提供其开户（基本存款账户）许可证复印件，若此项规定与招标文件其他部分有矛盾的，以此项规定为准。 </w:t>
            </w:r>
            <w:r>
              <w:rPr>
                <w:rFonts w:ascii="宋体" w:hAnsi="宋体" w:eastAsia="宋体" w:cs="宋体"/>
                <w:kern w:val="0"/>
                <w:sz w:val="24"/>
                <w:szCs w:val="24"/>
              </w:rPr>
              <w:t>④</w:t>
            </w:r>
            <w:r>
              <w:rPr>
                <w:rFonts w:ascii="宋体" w:hAnsi="宋体" w:eastAsia="宋体" w:cs="Noto Sans"/>
                <w:kern w:val="0"/>
                <w:sz w:val="24"/>
                <w:szCs w:val="24"/>
              </w:rPr>
              <w:t xml:space="preserve">招标文件中要求提供的所有证明材料，投标人在提供时若有注明复印件无效（招标文件有特别说明的除外），投标人应在对应的投标文件中提供原件扫描件上传电子投标系统进行投标。证明材料必须齐全如有多页的必须全部上传（含：封面、正文、最后一页等），证明不齐全导致的后果由供应商自行承担责任[含：评审委员会（评审专家）或资格审查小组作出对投标供应商不利的判断]。 </w:t>
            </w:r>
            <w:r>
              <w:rPr>
                <w:rFonts w:ascii="宋体" w:hAnsi="宋体" w:eastAsia="宋体" w:cs="宋体"/>
                <w:kern w:val="0"/>
                <w:sz w:val="24"/>
                <w:szCs w:val="24"/>
              </w:rPr>
              <w:t>⑤</w:t>
            </w:r>
            <w:r>
              <w:rPr>
                <w:rFonts w:ascii="宋体" w:hAnsi="宋体" w:eastAsia="宋体" w:cs="Noto Sans"/>
                <w:kern w:val="0"/>
                <w:sz w:val="24"/>
                <w:szCs w:val="24"/>
              </w:rPr>
              <w:t xml:space="preserve">招标文件中所有证明材料若有注明仅供内部参考或内部使用或不对外等相同意思表述的，则证明材料无效。招标文件若有要求提供国家认可的具备检测资质的检测机构出具有效的检测报告，该报告是指符合《检验检测机构资质认定管理办法》的检测机构出具的有效检测报告。 </w:t>
            </w:r>
            <w:r>
              <w:rPr>
                <w:rFonts w:ascii="宋体" w:hAnsi="宋体" w:eastAsia="宋体" w:cs="宋体"/>
                <w:kern w:val="0"/>
                <w:sz w:val="24"/>
                <w:szCs w:val="24"/>
              </w:rPr>
              <w:t>⑥</w:t>
            </w:r>
            <w:r>
              <w:rPr>
                <w:rFonts w:ascii="宋体" w:hAnsi="宋体" w:eastAsia="宋体" w:cs="Noto Sans"/>
                <w:kern w:val="0"/>
                <w:sz w:val="24"/>
                <w:szCs w:val="24"/>
              </w:rPr>
              <w:t>关于远程开标事宜，若投标人选择远程开标（不来开标现场），招标文件如有要求提供电子投标文件的，投标人应在投标截止时间前将电子投标文件送达开标指定地点（邮寄或他人代为送达均可）。远程开标的每个环节投标人应在3分钟内完成开标的每个环节内容，若投标人未在规定时间内完成相应的操作，导致投标无效，由投标人自行承担责任。</w:t>
            </w:r>
          </w:p>
        </w:tc>
      </w:tr>
      <w:tr>
        <w:tblPrEx>
          <w:shd w:val="clear" w:color="auto" w:fill="FFFFFF"/>
          <w:tblLayout w:type="fixed"/>
          <w:tblCellMar>
            <w:top w:w="0" w:type="dxa"/>
            <w:left w:w="0" w:type="dxa"/>
            <w:bottom w:w="0" w:type="dxa"/>
            <w:right w:w="0" w:type="dxa"/>
          </w:tblCellMar>
        </w:tblPrEx>
        <w:trPr>
          <w:trHeight w:val="567" w:hRule="atLeast"/>
        </w:trPr>
        <w:tc>
          <w:tcPr>
            <w:tcW w:w="1320" w:type="dxa"/>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备注</w:t>
            </w:r>
          </w:p>
        </w:tc>
        <w:tc>
          <w:tcPr>
            <w:tcW w:w="855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后有投标人须知前附表2，请勿遗漏。</w:t>
            </w:r>
          </w:p>
        </w:tc>
      </w:tr>
    </w:tbl>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二、投标人须知前附表2</w:t>
      </w:r>
    </w:p>
    <w:tbl>
      <w:tblPr>
        <w:tblStyle w:val="13"/>
        <w:tblW w:w="9878" w:type="dxa"/>
        <w:tblInd w:w="0" w:type="dxa"/>
        <w:shd w:val="clear" w:color="auto" w:fill="FFFFFF"/>
        <w:tblLayout w:type="fixed"/>
        <w:tblCellMar>
          <w:top w:w="0" w:type="dxa"/>
          <w:left w:w="0" w:type="dxa"/>
          <w:bottom w:w="0" w:type="dxa"/>
          <w:right w:w="0" w:type="dxa"/>
        </w:tblCellMar>
      </w:tblPr>
      <w:tblGrid>
        <w:gridCol w:w="480"/>
        <w:gridCol w:w="9398"/>
      </w:tblGrid>
      <w:tr>
        <w:tblPrEx>
          <w:shd w:val="clear" w:color="auto" w:fill="FFFFFF"/>
          <w:tblLayout w:type="fixed"/>
          <w:tblCellMar>
            <w:top w:w="0" w:type="dxa"/>
            <w:left w:w="0" w:type="dxa"/>
            <w:bottom w:w="0" w:type="dxa"/>
            <w:right w:w="0" w:type="dxa"/>
          </w:tblCellMar>
        </w:tblPrEx>
        <w:trPr>
          <w:trHeight w:val="567" w:hRule="atLeast"/>
        </w:trPr>
        <w:tc>
          <w:tcPr>
            <w:tcW w:w="9878" w:type="dxa"/>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关于电子招标投标活动的专门规定</w:t>
            </w:r>
          </w:p>
        </w:tc>
      </w:tr>
      <w:tr>
        <w:tblPrEx>
          <w:shd w:val="clear" w:color="auto" w:fill="FFFFFF"/>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序号</w:t>
            </w:r>
          </w:p>
        </w:tc>
        <w:tc>
          <w:tcPr>
            <w:tcW w:w="939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编列内容</w:t>
            </w:r>
          </w:p>
        </w:tc>
      </w:tr>
      <w:tr>
        <w:tblPrEx>
          <w:shd w:val="clear" w:color="auto" w:fill="FFFFFF"/>
          <w:tblLayout w:type="fixed"/>
          <w:tblCellMar>
            <w:top w:w="0" w:type="dxa"/>
            <w:left w:w="0" w:type="dxa"/>
            <w:bottom w:w="0" w:type="dxa"/>
            <w:right w:w="0" w:type="dxa"/>
          </w:tblCellMar>
        </w:tblPrEx>
        <w:trPr>
          <w:trHeight w:val="567" w:hRule="atLeast"/>
        </w:trPr>
        <w:tc>
          <w:tcPr>
            <w:tcW w:w="480"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w:t>
            </w:r>
          </w:p>
        </w:tc>
        <w:tc>
          <w:tcPr>
            <w:tcW w:w="9398" w:type="dxa"/>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（1）电子招标投标活动的专门规定适用本项目电子招标投标活动。</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（2）将招标文件</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无</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的内容修正为下列内容：</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无</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后适用本项目的电子招标投标活动。</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（3）将下列内容增列为招标文件的组成部分（以下简称：“增列内容”）适用本项目的电子招标投标活动，若增列内容与招标文件其他章节内容有冲突，应以增列内容为准：</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①</w:t>
            </w:r>
            <w:r>
              <w:rPr>
                <w:rFonts w:ascii="宋体" w:hAnsi="宋体" w:eastAsia="宋体" w:cs="Noto Sans"/>
                <w:kern w:val="0"/>
                <w:sz w:val="24"/>
                <w:szCs w:val="24"/>
              </w:rPr>
              <w:t>电子招标投标活动的具体操作流程以福建省政府采购网上公开信息系统设定的为准。</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②</w:t>
            </w:r>
            <w:r>
              <w:rPr>
                <w:rFonts w:ascii="宋体" w:hAnsi="宋体" w:eastAsia="宋体" w:cs="Noto Sans"/>
                <w:kern w:val="0"/>
                <w:sz w:val="24"/>
                <w:szCs w:val="24"/>
              </w:rPr>
              <w:t>关于电子投标文件：</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a.投标人应按照福建省政府采购网上公开信息系统设定的评审节点编制电子投标文件，否则资格审查小组、评标委员会将按照不利于投标人的内容进行认定。</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③</w:t>
            </w:r>
            <w:r>
              <w:rPr>
                <w:rFonts w:ascii="宋体" w:hAnsi="宋体" w:eastAsia="宋体" w:cs="Noto Sans"/>
                <w:kern w:val="0"/>
                <w:sz w:val="24"/>
                <w:szCs w:val="24"/>
              </w:rPr>
              <w:t>关于证明材料或资料：</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b.若投标人提供注明“复印件无效”或“复印无效”的证明材料或资料，应结合上文a条款进行判定，若招标文件未要求投标人提供原件，投标人提供原件，复印件（含扫描件）均视为满足招标文件要求。</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④</w:t>
            </w:r>
            <w:r>
              <w:rPr>
                <w:rFonts w:ascii="宋体" w:hAnsi="宋体" w:eastAsia="宋体" w:cs="Noto Sans"/>
                <w:kern w:val="0"/>
                <w:sz w:val="24"/>
                <w:szCs w:val="24"/>
              </w:rPr>
              <w:t>关于“全称”、“投标人代表签字”及“加盖单位公章”：</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a.在电子投标文件中，涉及“全称”和“投标人代表签字”的内容可使用打字录入方式完成。</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b.在电子投标文件中，涉及“加盖单位公章”的内容应使用投标人的CA证书完成，否则投标无效。</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c.在电子投标文件中，若投标人按照本增列内容第</w:t>
            </w:r>
            <w:r>
              <w:rPr>
                <w:rFonts w:ascii="宋体" w:hAnsi="宋体" w:eastAsia="宋体" w:cs="宋体"/>
                <w:kern w:val="0"/>
                <w:sz w:val="24"/>
                <w:szCs w:val="24"/>
              </w:rPr>
              <w:t>④</w:t>
            </w:r>
            <w:r>
              <w:rPr>
                <w:rFonts w:ascii="宋体" w:hAnsi="宋体" w:eastAsia="宋体" w:cs="Noto Sans"/>
                <w:kern w:val="0"/>
                <w:sz w:val="24"/>
                <w:szCs w:val="24"/>
              </w:rPr>
              <w:t>点第b项规定加盖其单位公章，则出现无全称、或投标人代表未签字等情形，不视为投标无效。</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⑤</w:t>
            </w:r>
            <w:r>
              <w:rPr>
                <w:rFonts w:ascii="宋体" w:hAnsi="宋体" w:eastAsia="宋体" w:cs="Noto Sans"/>
                <w:kern w:val="0"/>
                <w:sz w:val="24"/>
                <w:szCs w:val="24"/>
              </w:rPr>
              <w:t>关于投标人的CA证书：</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a.投标人的CA证书应在系统规定时间内使用CA证书进行电子投标文件的解密操作，逾期未解密的视为放弃投标。</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b.投标人的CA证书可采用信封（包括但不限于：信封、档案袋、文件袋等）作为外包装进行单独包装。外包装密封、不密封皆可。</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c.投标人的CA证书或外包装应标记“项目名称、项目编号、投标人的全称”等内容，以方便识别、使用。</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d.投标人的CA证书应能正常、有效使用，否则产生不利后果由投标人承担责任。</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⑥</w:t>
            </w:r>
            <w:r>
              <w:rPr>
                <w:rFonts w:ascii="宋体" w:hAnsi="宋体" w:eastAsia="宋体" w:cs="Noto Sans"/>
                <w:kern w:val="0"/>
                <w:sz w:val="24"/>
                <w:szCs w:val="24"/>
              </w:rPr>
              <w:t>关于投标截止时间过后</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a.未按招标文件规定提交投标保证金的，其投标将按无效投标处理。</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b.有下列情形之一的，其投标无效,其保证金不予退还或通过投标保函进行索赔：</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b1不同投标人的电子投标文件具有相同内部识别码；</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b2不同投标人的投标保证金从同一单位或个人的账户转出；</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b3投标人的投标保证金同一采购包下有其他投标人提交的投标保证金；</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b4不同投标人存在串通投标的其他情形。</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⑦</w:t>
            </w:r>
            <w:r>
              <w:rPr>
                <w:rFonts w:ascii="宋体" w:hAnsi="宋体" w:eastAsia="宋体" w:cs="Noto Sans"/>
                <w:kern w:val="0"/>
                <w:sz w:val="24"/>
                <w:szCs w:val="24"/>
              </w:rPr>
              <w:t>接受联合体投标且投标人为联合体的，投标人应由“联合体牵头方”完成福建省政府采购网上公开信息系统设定的具体操作流程（包括但不限于：招标文件获取、提交投标保证金、编制电子投标文件等）。</w:t>
            </w:r>
          </w:p>
          <w:p>
            <w:pPr>
              <w:widowControl/>
              <w:wordWrap w:val="0"/>
              <w:jc w:val="left"/>
              <w:rPr>
                <w:rFonts w:ascii="宋体" w:hAnsi="宋体" w:eastAsia="宋体" w:cs="Noto Sans"/>
                <w:kern w:val="0"/>
                <w:sz w:val="24"/>
                <w:szCs w:val="24"/>
              </w:rPr>
            </w:pPr>
            <w:r>
              <w:rPr>
                <w:rFonts w:ascii="宋体" w:hAnsi="宋体" w:eastAsia="宋体" w:cs="宋体"/>
                <w:kern w:val="0"/>
                <w:sz w:val="24"/>
                <w:szCs w:val="24"/>
              </w:rPr>
              <w:t>⑧</w:t>
            </w:r>
            <w:r>
              <w:rPr>
                <w:rFonts w:ascii="宋体" w:hAnsi="宋体" w:eastAsia="宋体" w:cs="Noto Sans"/>
                <w:kern w:val="0"/>
                <w:sz w:val="24"/>
                <w:szCs w:val="24"/>
              </w:rPr>
              <w:t>其他：</w:t>
            </w:r>
          </w:p>
          <w:p>
            <w:pPr>
              <w:widowControl/>
              <w:wordWrap w:val="0"/>
              <w:jc w:val="left"/>
              <w:rPr>
                <w:rFonts w:ascii="宋体" w:hAnsi="宋体" w:eastAsia="宋体" w:cs="Noto Sans"/>
                <w:kern w:val="0"/>
                <w:sz w:val="24"/>
                <w:szCs w:val="24"/>
              </w:rPr>
            </w:pPr>
            <w:r>
              <w:rPr>
                <w:rFonts w:ascii="宋体" w:hAnsi="宋体" w:eastAsia="宋体" w:cs="Noto Sans"/>
                <w:kern w:val="0"/>
                <w:sz w:val="24"/>
                <w:szCs w:val="24"/>
              </w:rPr>
              <w:t>无</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1"/>
        <w:rPr>
          <w:rFonts w:ascii="宋体" w:hAnsi="宋体" w:eastAsia="宋体" w:cs="Noto Sans"/>
          <w:b/>
          <w:kern w:val="0"/>
          <w:sz w:val="24"/>
          <w:szCs w:val="39"/>
        </w:rPr>
      </w:pPr>
      <w:r>
        <w:rPr>
          <w:rFonts w:ascii="宋体" w:hAnsi="宋体" w:eastAsia="宋体" w:cs="Noto Sans"/>
          <w:kern w:val="0"/>
          <w:sz w:val="36"/>
          <w:szCs w:val="39"/>
        </w:rPr>
        <w:br w:type="page"/>
      </w:r>
      <w:r>
        <w:rPr>
          <w:rFonts w:ascii="宋体" w:hAnsi="宋体" w:eastAsia="宋体" w:cs="Noto Sans"/>
          <w:b/>
          <w:kern w:val="0"/>
          <w:sz w:val="36"/>
          <w:szCs w:val="39"/>
        </w:rPr>
        <w:t>第三章 投标人须知</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一、总则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1、适用范围</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1.1适用于招标文件载明项目的政府采购活动（以下简称：“本次采购活动”）。</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2、定义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2.1“采购标的”指招标文件载明的需要采购的货物或服务。</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2.2“潜在投标人”指按照招标文件第一章第7条规定获取招标文件且有意向参加本项目投标的供应商。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2.3“投标人”指按照招标文件第一章第7条规定获取招标文件并参加本项目投标的供应商。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2.4“单位负责人”指单位法定代表人或法律、法规规定代表单位行使职权的主要负责人。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2.5“投标人代表”指投标人的单位负责人或“单位负责人授权书”中载明的接受授权方。</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二、投标人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3、合格投标人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3.1一般规定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（2）投标人的资格要求：详见招标文件第一章。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3.2若本项目接受联合体投标且投标人为联合体，则联合体各方应遵守本章第3.1条规定，同时还应遵守下列规定：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（1）联合体各方应提交联合体协议，联合体协议应符合招标文件规定。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（2）联合体各方不得再单独参加或与其他供应商另外组成联合体参加同一合同项下的投标。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（3）联合体各方应共同与采购人签订政府采购合同，就政府采购合同约定的事项对采购人承担连带责任。</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（5）联合体一方放弃中标的，视为联合体整体放弃中标，联合体各方承担连带责任。</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（6）如本项目不接受联合体投标而投标人为联合体的，或者本项目接受联合体投标但投标人组成的联合体不符合本章第3.2条规定的，投标无效。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4、投标费用</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4.1除招标文件另有规定外，投标人应自行承担其参加本项目投标所涉及的一切费用。</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三、招标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5、招标文件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5.1招标文件由下述部分组成：</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（1）投标邀请</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（2）投标人须知前附表（表1、2）</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（3）投标人须知</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（4）资格审查与评标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（5）招标内容及要求</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（6）政府采购合同（参考文本）</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（7）电子投标文件格式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（8）按照招标文件规定作为招标文件组成部分的其他内容（若有）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5.2招标文件的澄清或修改</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 福建省承诚招标代理有限公司 可对已发出的招标文件进行必要的澄清或修改，但不得对招标文件载明的采购标的和投标人的资格要求进行改变。</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（2）除本章第5.2条第（3）款规定情形外，澄清或修改的内容可能影响电子投标文件编制的， 福建省承诚招标代理有限公司 将在投标截止时间至少15个日历日前，在招标文件载明的指定媒体以更正公告的形式发布澄清或修改的内容。不足15个日历日的， 福建省承诚招标代理有限公司 将顺延投标截止时间及开标时间， 福建省承诚招标代理有限公司 和投标人受原投标截止时间及开标时间制约的所有权利和义务均延长至新的投标截止时间及开标时间。</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（3）澄清或修改的内容可能改变招标文件载明的采购标的和投标人的资格要求的，本次采购活动结束， 福建省承诚招标代理有限公司 将依法组织后续采购活动（包括但不限于：重新招标、采用其他方式采购等）。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6、现场考察或开标前答疑会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6.1是否组织现场考察或召开开标前答疑会：详见招标文件第二章。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7、更正公告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7.1若 福建省承诚招标代理有限公司 发布更正公告，则更正公告及其所发布的内容或信息（包括但不限于：招标文件的澄清或修改、现场考察或答疑会的有关事宜等）作为招标文件组成部分，对投标人具有约束力。</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7.2更正公告作为 福建省承诚招标代理有限公司 通知所有潜在投标人的书面形式。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8、终止公告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8.1若出现因重大变故导致采购任务取消情形， 福建省承诚招标代理有限公司 可终止招标并发布终止公告。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8.2终止公告作为 福建省承诚招标代理有限公司 通知所有潜在投标人的书面形式。</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四、投标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9、投标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9.1投标人可对招标文件载明的全部或部分采购包进行投标。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9.2投标人应对同一个采购包内的所有内容进行完整投标，否则投标无效。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9.3投标人代表只能接受一个投标人的授权参加投标，否则投标无效。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9.4单位负责人为同一人或存在直接控股、管理关系的不同供应商，不得同时参加同一合同项下的投标，否则投标无效。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9.5为本项目提供整体设计、规范编制或项目管理、监理、检测等服务的供应商，不得参加本项目除整体设计、规范编制和项目管理、监理、检测等服务外的采购活动，否则投标无效。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9.6列入失信被执行人、重大税收违法案件当事人名单、政府采购严重违法失信行为记录名单及其他不符合政府采购法第二十二条规定条件的供应商，不得参加投标，否则投标无效。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9.7有下列情形之一的，视为投标人串通投标，其投标无效：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（1）不同投标人的电子投标文件由同一单位或个人编制；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（2）不同投标人委托同一单位或个人办理投标事宜；</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（3）不同投标人的电子投标文件载明的项目管理成员或联系人员为同一人；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（4）不同投标人的电子投标文件异常一致或投标报价呈规律性差异；</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（5）不同投标人的电子投标文件相互混装；</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（6）不同投标人的投标保证金从同一单位或个人的账户转出；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（7）有关法律、法规和规章及招标文件规定的其他串通投标情形。</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10、电子投标文件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10.1电子投标文件的编制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（1）投标人应先仔细阅读招标文件的全部内容后，再进行电子投标文件的编制。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（2）电子投标文件应按照本章第10.2条规定编制其组成部分。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（3）电子投标文件应满足招标文件提出的实质性要求和条件，并保证其所提交的全部资料是不可割离且真实、有效、准确、完整和不具有任何误导性的，否则造成不利后果由投标人承担责任。</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10.2电子投标文件由下述部分组成：</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（1）资格及资信证明部分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投标函</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投标人的资格及资信证明文件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投标保证金</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（2）报价部分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开标（报价）一览表</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投标（响应）报价明细表</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招标文件规定的价格扣除证明材料（若有）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招标文件规定的加分证明材料（若有）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（3）技术商务部分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标的说明一览表</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技术和服务要求响应表</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商务条件响应表</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投标人提交的其他资料（若有）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⑤</w:t>
      </w:r>
      <w:r>
        <w:rPr>
          <w:rFonts w:ascii="宋体" w:hAnsi="宋体" w:eastAsia="宋体" w:cs="Noto Sans"/>
          <w:kern w:val="0"/>
          <w:sz w:val="24"/>
          <w:szCs w:val="24"/>
        </w:rPr>
        <w:t>招标文件规定作为电子投标文件组成部分的其他内容（若有）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10.3电子投标文件的语言</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（1）除招标文件另有规定外，电子投标文件应使用中文文本，若有不同文本，以中文文本为准。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10.4投标文件的份数：详见招标文件第二章。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10.5电子投标文件的格式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（1）除招标文件另有规定外，电子投标文件应使用招标文件第七章规定的格式。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（2）除招标文件另有规定外，电子投标文件应使用不能擦去的墨料或墨水打印、书写或复印。</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（3）除招标文件另有规定外，电子投标文件应使用人民币作为计量货币。</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（4）除招标文件另有规定外，签署、盖章应遵守下列规定：</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电子投标文件应加盖投标人的单位公章。若投标人代表为单位授权的委托代理人，应提供“单位授权书”。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电子投标文件应没有涂改或行间插字，除非这些改动是根据 福建省承诚招标代理有限公司 的指示进行的，或是为改正投标人造成的应修改的错误而进行的。若有前述改动，应按照下列规定之一对改动处进行处理：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a.投标人代表签字确认；</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b.加盖投标人的单位公章或校正章。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10.6投标报价</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（1）投标报价超出最高限价将导致投标无效。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（2）最高限价由采购人根据价格测算情况，在预算金额的额度内合理设定。最高限价不得超出预算金额。</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（3）除招标文件另有规定外，电子投标文件不能出现任何选择性的投标报价，即每一个采购包和品目号的采购标的都只能有一个投标报价。任何选择性的投标报价将导致投标无效。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10.7分包</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（1）是否允许中标人将本项目的非主体、非关键性工作进行分包：详见招标文件第二章。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（3）招标文件允许中标人将非主体、非关键性工作进行分包的项目，有下列情形之一的，中标人不得分包：</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电子投标文件中未载明分包承担主体；</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电子投标文件载明的分包承担主体不具备相应资质条件；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电子投标文件载明的分包承担主体拟再次分包；</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享受中小企业扶持政策获得政府采购合同的，小微企业不得将合同分包给大中型企业，中型企业不得将合同分包给大型企业。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10.8投标有效期</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（1）招标文件载明的投标有效期：详见招标文件第二章。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（2）电子投标文件承诺的投标有效期不得少于招标文件载明的投标有效期，否则投标无效。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（3）根据本次采购活动的需要， 福建省承诚招标代理有限公司 可于投标有效期届满之前书面要求投标人延长投标有效期，投标人应在 福建省承诚招标代理有限公司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10.9投标保证金</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（1）投标保证金作为投标人按照招标文件规定履行相应投标责任、义务的约束及担保。</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（2）投标人以电子保函形式提交投标保证金的，保函的有效期应等于或长于电子投标文件承诺的投标有效期，否则投标无效。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（3）提交</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投标人以汇款形式缴纳投标保证金的，应从其银行账户（基本存款账户）按照下列方式：公对公转账方式向招标文件载明的投标保证金账户提交投标保证金，具体金额详见招标文件第一章。</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widowControl/>
        <w:shd w:val="clear" w:color="auto" w:fill="FFFFFF"/>
        <w:ind w:firstLine="480" w:firstLineChars="200"/>
        <w:jc w:val="left"/>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其他形式：</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无</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若本项目接受联合体投标且投标人为联合体，则联合体中的牵头方应按照本章第10.9条第（3）款第</w:t>
      </w:r>
      <w:r>
        <w:rPr>
          <w:rFonts w:hint="eastAsia" w:ascii="宋体" w:hAnsi="宋体" w:eastAsia="宋体" w:cs="宋体"/>
          <w:kern w:val="0"/>
          <w:sz w:val="24"/>
          <w:szCs w:val="24"/>
        </w:rPr>
        <w:t>①</w:t>
      </w:r>
      <w:r>
        <w:rPr>
          <w:rFonts w:ascii="宋体" w:hAnsi="宋体" w:eastAsia="宋体" w:cs="Noto Sans"/>
          <w:kern w:val="0"/>
          <w:sz w:val="24"/>
          <w:szCs w:val="24"/>
        </w:rPr>
        <w:t>、</w:t>
      </w:r>
      <w:r>
        <w:rPr>
          <w:rFonts w:hint="eastAsia" w:ascii="宋体" w:hAnsi="宋体" w:eastAsia="宋体" w:cs="宋体"/>
          <w:kern w:val="0"/>
          <w:sz w:val="24"/>
          <w:szCs w:val="24"/>
        </w:rPr>
        <w:t>②</w:t>
      </w:r>
      <w:r>
        <w:rPr>
          <w:rFonts w:ascii="宋体" w:hAnsi="宋体" w:eastAsia="宋体" w:cs="Noto Sans"/>
          <w:kern w:val="0"/>
          <w:sz w:val="24"/>
          <w:szCs w:val="24"/>
        </w:rPr>
        <w:t>、</w:t>
      </w:r>
      <w:r>
        <w:rPr>
          <w:rFonts w:hint="eastAsia" w:ascii="宋体" w:hAnsi="宋体" w:eastAsia="宋体" w:cs="宋体"/>
          <w:kern w:val="0"/>
          <w:sz w:val="24"/>
          <w:szCs w:val="24"/>
        </w:rPr>
        <w:t>③</w:t>
      </w:r>
      <w:r>
        <w:rPr>
          <w:rFonts w:ascii="宋体" w:hAnsi="宋体" w:eastAsia="宋体" w:cs="Noto Sans"/>
          <w:kern w:val="0"/>
          <w:sz w:val="24"/>
          <w:szCs w:val="24"/>
        </w:rPr>
        <w:t>点规定提交投标保证金。</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※除招标文件另有规定外，未按照上述规定提交投标保证金将导致资格审查不合格。</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（4）退还</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在投标截止时间前撤回已提交的电子投标文件的投标人，其投标保证金将在 福建省承诚招标代理有限公司 收到投标人书面撤回通知之日起5个工作日内退回原账户。</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未中标人的投标保证金将在中标通知书发出之日起5个工作日内退回原账户。</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中标人的投标保证金将在政府采购合同签订之日起5个工作日内退回原账户；合同签订之日以福建省政府采购网上公开信息系统记载的为准。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终止招标的， 福建省承诚招标代理有限公司 将在终止公告发布之日起5个工作日内退回已收取的投标保证金及其在银行产生的孳息。</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⑤</w:t>
      </w:r>
      <w:r>
        <w:rPr>
          <w:rFonts w:ascii="宋体" w:hAnsi="宋体" w:eastAsia="宋体" w:cs="Noto Sans"/>
          <w:kern w:val="0"/>
          <w:sz w:val="24"/>
          <w:szCs w:val="24"/>
        </w:rPr>
        <w:t>除招标文件另有规定外，质疑或投诉涉及的投标人，若投标保证金尚未退还，则待质疑或投诉处理完毕后不计利息原额退还。</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※本章第10.9条第（4）款第</w:t>
      </w:r>
      <w:r>
        <w:rPr>
          <w:rFonts w:hint="eastAsia" w:ascii="宋体" w:hAnsi="宋体" w:eastAsia="宋体" w:cs="宋体"/>
          <w:kern w:val="0"/>
          <w:sz w:val="24"/>
          <w:szCs w:val="24"/>
        </w:rPr>
        <w:t>①</w:t>
      </w:r>
      <w:r>
        <w:rPr>
          <w:rFonts w:ascii="宋体" w:hAnsi="宋体" w:eastAsia="宋体" w:cs="Noto Sans"/>
          <w:kern w:val="0"/>
          <w:sz w:val="24"/>
          <w:szCs w:val="24"/>
        </w:rPr>
        <w:t>、</w:t>
      </w:r>
      <w:r>
        <w:rPr>
          <w:rFonts w:hint="eastAsia" w:ascii="宋体" w:hAnsi="宋体" w:eastAsia="宋体" w:cs="宋体"/>
          <w:kern w:val="0"/>
          <w:sz w:val="24"/>
          <w:szCs w:val="24"/>
        </w:rPr>
        <w:t>②</w:t>
      </w:r>
      <w:r>
        <w:rPr>
          <w:rFonts w:ascii="宋体" w:hAnsi="宋体" w:eastAsia="宋体" w:cs="Noto Sans"/>
          <w:kern w:val="0"/>
          <w:sz w:val="24"/>
          <w:szCs w:val="24"/>
        </w:rPr>
        <w:t>、</w:t>
      </w:r>
      <w:r>
        <w:rPr>
          <w:rFonts w:hint="eastAsia" w:ascii="宋体" w:hAnsi="宋体" w:eastAsia="宋体" w:cs="宋体"/>
          <w:kern w:val="0"/>
          <w:sz w:val="24"/>
          <w:szCs w:val="24"/>
        </w:rPr>
        <w:t>③</w:t>
      </w:r>
      <w:r>
        <w:rPr>
          <w:rFonts w:ascii="宋体" w:hAnsi="宋体" w:eastAsia="宋体" w:cs="Noto Sans"/>
          <w:kern w:val="0"/>
          <w:sz w:val="24"/>
          <w:szCs w:val="24"/>
        </w:rPr>
        <w:t>点规定的投标保证金退还时限不包括因投标人自身原因导致无法及时退还而增加的时间。</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（6）有下列情形之一的，投标保证金将不予退还或通过投标保函进行索赔：</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投标人串通投标；</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投标人提供虚假材料；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投标人采取不正当手段诋毁、排挤其他投标人；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投标截止时间后，投标人在投标有效期内撤销电子投标文件；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⑤</w:t>
      </w:r>
      <w:r>
        <w:rPr>
          <w:rFonts w:ascii="宋体" w:hAnsi="宋体" w:eastAsia="宋体" w:cs="Noto Sans"/>
          <w:kern w:val="0"/>
          <w:sz w:val="24"/>
          <w:szCs w:val="24"/>
        </w:rPr>
        <w:t>招标文件规定的其他不予退还情形；</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⑥</w:t>
      </w:r>
      <w:r>
        <w:rPr>
          <w:rFonts w:ascii="宋体" w:hAnsi="宋体" w:eastAsia="宋体" w:cs="Noto Sans"/>
          <w:kern w:val="0"/>
          <w:sz w:val="24"/>
          <w:szCs w:val="24"/>
        </w:rPr>
        <w:t>中标人有下列情形之一的：</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a.除不可抗力外，因中标人自身原因未在中标通知书要求的期限内与采购人签订政府采购合同；</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b.未按照招标文件、投标文件的约定签订政府采购合同或提交履约保证金。</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※若上述投标保证金不予退还情形给采购人（采购代理机构）造成损失，则投标人还要承担相应的赔偿责任。</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10.10电子投标文件的提交</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（1）一个投标人只能提交一个电子投标文件，并按照招标文件第一章规定在系统上完成上传、解密操作。</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10.11电子投标文件的补充、修改或撤回</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（1）投标截止时间前，投标人可对所提交的电子投标文件进行补充、修改或撤回，并书面通知 福建省承诚招标代理有限公司 。</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（2）补充、修改的内容应按照本章第10.5条第（4）款规定进行签署、盖章，并按照本章第10.10条规定提交，否则将被拒收。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※按照上述规定提交的补充、修改内容作为电子投标文件组成部分。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10.12除招标文件另有规定外，有下列情形之一的，投标无效：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（1）电子投标文件未按照招标文件要求签署、盖章；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（2）不符合招标文件中规定的资格要求；</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（3）投标报价超过招标文件中规定的预算金额或最高限价；</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（4）电子投标文件含有采购人不能接受的附加条件；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（5）有关法律、法规和规章及招标文件规定的其他无效情形。</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五、开标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11、开标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11.1 福建省承诚招标代理有限公司 将在招标文件载明的开标时间及地点主持召开开标会，并邀请投标人参加。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11.2开标会的主持人、唱标人、记录人及其他工作人员（若有）均由 福建省承诚招标代理有限公司 派出，现场监督人员（若有）可由有关方面派出。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11.4开标会应遵守下列规定：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（3）唱标结束后，参加现场开标会的投标人代表应对开标记录进行签字确认，通过远程参与开标流程的投标人须在系统远程签章开启后，在系统规定时间内对开标结果进行签章确认。</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（5）若投标人未到开标现场参加开标会，也未通过远程参加开标会的，视同认可开标结果。</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福建省承诚招标代理有限公司 提出任何疑义或要求（包括质疑）。</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11.5投标截止时间后，参加投标的投标人不足三家的，不进行开标。同时，本次采购活动结束， 福建省承诚招标代理有限公司 将依法组织后续采购活动（包括但不限于：重新招标、采用其他方式采购等）。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11.6投标截止时间后撤销投标的处理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投标截止时间后，投标人在投标有效期内撤销投标的，其撤销投标的行为无效。</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六、中标与政府采购合同</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12、中标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12.1本项目推荐的中标候选人家数：详见招标文件第二章。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12.2本项目中标人的确定：详见招标文件第二章。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12.3中标公告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（1）中标人确定之日起2个工作日内， 福建省承诚招标代理有限公司 将在招标文件载明的指定媒体以中标公告的形式发布中标结果。</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（2）中标公告的公告期限为1个工作日。</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12.4中标通知书</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（1）中标公告发布的同时， 福建省承诚招标代理有限公司 将向中标人发出中标通知书。</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（2）中标通知书发出后，采购人不得违法改变中标结果，中标人无正当理由不得放弃中标。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13、政府采购合同</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13.2签订时限：详见须知前附表1的13.2。</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13.3政府采购合同的履行、违约责任和解决争议的方法等适用民法典。</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13.4采购人与中标人应根据政府采购合同的约定依法履行合同义务。</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13.5政府采购合同履行过程中，采购人若需追加与合同标的相同的货物或服务，则追加采购金额不得超过原合同采购金额的10%。</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13.6中标人在政府采购合同履行过程中应遵守有关法律、法规和规章的强制性规定（即使前述强制性规定有可能在招标文件中未予列明）。</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七、询问、质疑与投诉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14、询问</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14.1潜在投标人或投标人对本次采购活动的有关事项若有疑问，可向 福建省承诚招标代理有限公司 提出询问， 福建省承诚招标代理有限公司 将按照政府采购法及实施条例的有关规定进行答复。</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15、质疑</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（1）对招标文件提出质疑的，质疑人应为潜在投标人，且两者的身份、名称等均应保持一致。对采购过程、结果提出质疑的，质疑人应为投标人，且两者的身份、名称等均应保持一致。</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（2）质疑人应按照招标文件第二章规定方式提交质疑函。</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（3）质疑函应包括下列主要内容：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质疑人的基本信息，至少包括：全称、地址、邮政编码等；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所质疑项目的基本信息，至少包括：项目编号、项目名称等；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所质疑的具体事项（以下简称：“质疑事项”）；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针对质疑事项提出的明确请求，前述明确请求指质疑人提出质疑的目的以及希望 福建省承诚招标代理有限公司 对其质疑作出的处理结果，如：暂停招标投标活动、修改招标文件、停止或纠正违法违规行为、中标结果无效、废标、重新招标等；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⑤</w:t>
      </w:r>
      <w:r>
        <w:rPr>
          <w:rFonts w:ascii="宋体" w:hAnsi="宋体" w:eastAsia="宋体" w:cs="Noto Sans"/>
          <w:kern w:val="0"/>
          <w:sz w:val="24"/>
          <w:szCs w:val="24"/>
        </w:rPr>
        <w:t>针对质疑事项导致质疑人自身权益受到损害的必要证明材料，至少包括：</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a.质疑人代表的身份证明材料：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a2若本项目接受自然人投标且质疑人为自然人的，提供本人的身份证复印件。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b.其他证明材料（即事实依据和必要的法律依据）包括但不限于下列材料：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b1所质疑的具体事项是与自己有利害关系的证明材料；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b2质疑函所述事实存在的证明材料，如：采购文件、采购过程或中标结果违法违规或不符合采购文件要求等证明材料；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b3依法应终止采购程序的证明材料；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b4应重新采购的证明材料；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b5采购文件、采购过程或中标、成交结果损害自己合法权益的证明材料等；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⑥</w:t>
      </w:r>
      <w:r>
        <w:rPr>
          <w:rFonts w:ascii="宋体" w:hAnsi="宋体" w:eastAsia="宋体" w:cs="Noto Sans"/>
          <w:kern w:val="0"/>
          <w:sz w:val="24"/>
          <w:szCs w:val="24"/>
        </w:rPr>
        <w:t>质疑人代表及其联系方法的信息，至少包括：姓名、手机、电子信箱、邮寄地址等。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⑦</w:t>
      </w:r>
      <w:r>
        <w:rPr>
          <w:rFonts w:ascii="宋体" w:hAnsi="宋体" w:eastAsia="宋体" w:cs="Noto Sans"/>
          <w:kern w:val="0"/>
          <w:sz w:val="24"/>
          <w:szCs w:val="24"/>
        </w:rPr>
        <w:t>提出质疑的日期。</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※质疑人为法人或其他组织的，质疑函应由单位负责人或委托代理人签字或盖章，并加盖投标人的单位公章。质疑人为自然人的，质疑函应由本人签字。</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15.2对不符合本章第15.1条规定的质疑，将按照下列规定进行处理：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（1）不符合其中第（1）、（2）条规定的，书面告知质疑人不予受理及其理由。</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（2）不符合其中第（3）条规定的，书面告知质疑人修改、补充后在规定时限内重新提交质疑函。</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15.3对符合本章第15.1条规定的质疑，将按照政府采购法及实施条例、政府采购质疑和投诉办法的有关规定进行答复。</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15.4招标文件的质疑：详见招标文件第二章。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16、投诉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16.2投诉应有明确的请求和必要的证明材料，投诉的事项不得超出已质疑事项的范围。</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八、政府采购政策</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17、政府采购政策由财政部根据国家的经济和社会发展政策并会同国家有关部委制定，包括但不限于下列具体政策要求：</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17.1本国产品与非本国产品相关约定</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17.1.1本国产品</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xml:space="preserve">（1）本国产品标准 本国产品应当符合以下条件： </w:t>
      </w:r>
      <w:r>
        <w:rPr>
          <w:rFonts w:hint="eastAsia" w:ascii="宋体" w:hAnsi="宋体" w:eastAsia="宋体" w:cs="宋体"/>
          <w:kern w:val="0"/>
          <w:sz w:val="24"/>
          <w:szCs w:val="24"/>
        </w:rPr>
        <w:t>①</w:t>
      </w:r>
      <w:r>
        <w:rPr>
          <w:rFonts w:ascii="宋体" w:hAnsi="宋体" w:eastAsia="宋体" w:cs="Noto Sans"/>
          <w:kern w:val="0"/>
          <w:sz w:val="24"/>
          <w:szCs w:val="24"/>
        </w:rPr>
        <w:t xml:space="preserve">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w:t>
      </w:r>
      <w:r>
        <w:rPr>
          <w:rFonts w:hint="eastAsia" w:ascii="宋体" w:hAnsi="宋体" w:eastAsia="宋体" w:cs="宋体"/>
          <w:kern w:val="0"/>
          <w:sz w:val="24"/>
          <w:szCs w:val="24"/>
        </w:rPr>
        <w:t>②</w:t>
      </w:r>
      <w:r>
        <w:rPr>
          <w:rFonts w:ascii="宋体" w:hAnsi="宋体" w:eastAsia="宋体" w:cs="Noto Sans"/>
          <w:kern w:val="0"/>
          <w:sz w:val="24"/>
          <w:szCs w:val="24"/>
        </w:rPr>
        <w:t xml:space="preserve">在中国境内生产的组件成本占比达到规定比例。 具体判定标准以《国务院办公厅关于在政府采购中实施本国产品标准及相关政策的通知》以及财政部相关文件为准。 </w:t>
      </w:r>
      <w:r>
        <w:rPr>
          <w:rFonts w:hint="eastAsia" w:ascii="宋体" w:hAnsi="宋体" w:eastAsia="宋体" w:cs="宋体"/>
          <w:kern w:val="0"/>
          <w:sz w:val="24"/>
          <w:szCs w:val="24"/>
        </w:rPr>
        <w:t>③</w:t>
      </w:r>
      <w:r>
        <w:rPr>
          <w:rFonts w:ascii="宋体" w:hAnsi="宋体" w:eastAsia="宋体" w:cs="Noto Sans"/>
          <w:kern w:val="0"/>
          <w:sz w:val="24"/>
          <w:szCs w:val="24"/>
        </w:rPr>
        <w:t>特定产品的关键组件、关键工序符合相关要求。 具体判定标准以《国务院办公厅关于在政府采购中实施本国产品标准及相关政策的通知》以及财政部相关文件为准。</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（3）对本国产品的支持政策 政府采购活动中既有本国产品又有非本国产品参与竞争的，依法对本国产品给予价格评审优惠，对本国产品的报价给予20%的价格扣除，用扣除后的价格参与评审。</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17.1.2 非本国产品</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17.1.2.1 进口产品：指通过中国海关报关验放进入中国境内且产自关境外的产品，其中：</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（2）凡在海关特殊监管区域内企业生产或加工（包括从境外进口料件）销往境内其他地区的产品，不作为政府采购项下进口产品。</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（3）对从境外进入海关特殊监管区域，再经办理报关手续后从海关特殊监管区进入境内其他地区的产品，认定为进口产品。</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（4）招标文件列明不允许或未列明允许进口产品参加投标的，均视为拒绝进口产品参加投标。</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17.1.2.2 其它非本国产品：指非进口产品且不符合本国产品标准的产品。</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（1）中小企业指符合下列条件的中型、小型、微型企业：</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符合中小企业划分标准的个体工商户，在政府采购活动中视同中小企业。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（2）在政府采购活动中，供应商提供的货物、工程或者服务符合下列情形的，享受本办法规定的中小企业扶持政策：</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在货物采购项目中，货物由中小企业制造，即货物由中小企业生产且使用该中小企业商号或者注册商标；</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在工程采购项目中，工程由中小企业承建，即工程施工单位为中小企业；</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在服务采购项目中，服务由中小企业承接，即提供服务的人员为中小企业依照《中华人民共和国劳动合同法》订立劳动合同的从业人员。</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在货物采购项目中，供应商提供的货物既有中小企业制造货物，也有大型企业制造货物的，不享受本办法规定的中小企业扶持政策。</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以联合体形式参加政府采购活动，联合体各方均为中小企业的，联合体视同中小企业。其中，联合体各方均为小微企业的，联合体视同小微企业。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（3）投标人应当按照招标文件明确的采购标的对应行业的划分标准出具中小企业声明函。</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监狱企业参加采购活动时，应提供由省级以上监狱管理局、戒毒管理局（含新疆生产建设兵团）出具的属于监狱企业的证明文件。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监狱企业视同小型、微型企业。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（5）残疾人福利性单位指同时符合下列条件的单位：</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安置的残疾人占本单位在职职工人数的比例不低于25%（含25%），并且安置的残疾人人数不少于10人（含10人）；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依法与安置的每位残疾人签订了一年以上（含一年）的劳动合同或服务协议；</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为安置的每位残疾人按月足额缴纳了基本养老保险、基本医疗保险、失业保险、工伤保险和生育保险等社会保险费；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通过银行等金融机构向安置的每位残疾人，按月支付了不低于单位所在区县适用的经省级人民政府批准的月最低工资标准的工资；</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⑤</w:t>
      </w:r>
      <w:r>
        <w:rPr>
          <w:rFonts w:ascii="宋体" w:hAnsi="宋体" w:eastAsia="宋体" w:cs="Noto Sans"/>
          <w:kern w:val="0"/>
          <w:sz w:val="24"/>
          <w:szCs w:val="24"/>
        </w:rPr>
        <w:t>提供本单位制造的货物、承担的工程或服务，或提供其他残疾人福利性单位制造的货物（不包括使用非残疾人福利性单位注册商标的货物）。</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17.4信用记录指由财政部确定的有关网站提供的相关主体信用信息。信用记录的查询及使用应符合财政部文件（财库[2016]125号）规定。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17.5为落实政府采购政策需满足的要求：详见招标文件第一章。</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九、本项目的有关信息</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18、本项目的有关信息，包括但不限于：招标公告、更正公告（若有）、招标文件、招标文件的澄清或修改（若有）、中标公告、终止公告（若有）、废标公告（若有）等都将在招标文件载明的指定媒体发布。</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18.1指定媒体：详见招标文件第二章。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18.2本项目的潜在投标人或投标人应随时关注指定媒体，否则产生不利后果由其自行承担。</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十、其他事项</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19、其他事项：</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19.2其他：详见招标文件第二章。</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1"/>
        <w:rPr>
          <w:rFonts w:ascii="宋体" w:hAnsi="宋体" w:eastAsia="宋体" w:cs="Noto Sans"/>
          <w:b/>
          <w:kern w:val="0"/>
          <w:sz w:val="24"/>
          <w:szCs w:val="39"/>
        </w:rPr>
      </w:pPr>
      <w:r>
        <w:rPr>
          <w:rFonts w:ascii="宋体" w:hAnsi="宋体" w:eastAsia="宋体" w:cs="Noto Sans"/>
          <w:kern w:val="0"/>
          <w:sz w:val="36"/>
          <w:szCs w:val="39"/>
        </w:rPr>
        <w:br w:type="page"/>
      </w:r>
      <w:r>
        <w:rPr>
          <w:rFonts w:ascii="宋体" w:hAnsi="宋体" w:eastAsia="宋体" w:cs="Noto Sans"/>
          <w:b/>
          <w:kern w:val="0"/>
          <w:sz w:val="36"/>
          <w:szCs w:val="39"/>
        </w:rPr>
        <w:t>第四章 资格审查与评标</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一、资格审查</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1、开标结束后，由 福建省承诚招标代理有限公司 负责资格审查小组的组建及资格审查工作的组织。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1.1资格审查小组</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资格审查小组由3人组成，并负责具体审查事务， 其中由采购人派出的采购人代表至少1人， 由福建省承诚招标代理有限公司派出的工作人员至少1人， 其余1人可为采购人代表或福建省承诚招标代理有限公司的工作人员。</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1.2资格审查的依据是招标文件和电子投标文件。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1.3资格审查的范围及内容：电子投标文件（资格及资信证明部分），具体如下：</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（1）“投标函”；</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（2）“投标人的资格及资信证明文件”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一般资格证明文件：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采购包1：</w:t>
      </w:r>
    </w:p>
    <w:tbl>
      <w:tblPr>
        <w:tblStyle w:val="13"/>
        <w:tblW w:w="9878" w:type="dxa"/>
        <w:tblInd w:w="0" w:type="dxa"/>
        <w:tblLayout w:type="fixed"/>
        <w:tblCellMar>
          <w:top w:w="0" w:type="dxa"/>
          <w:left w:w="0" w:type="dxa"/>
          <w:bottom w:w="0" w:type="dxa"/>
          <w:right w:w="0" w:type="dxa"/>
        </w:tblCellMar>
      </w:tblPr>
      <w:tblGrid>
        <w:gridCol w:w="741"/>
        <w:gridCol w:w="1999"/>
        <w:gridCol w:w="7138"/>
      </w:tblGrid>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199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资格审查要求概况</w:t>
            </w:r>
          </w:p>
        </w:tc>
        <w:tc>
          <w:tcPr>
            <w:tcW w:w="713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评审点具体描述</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单位授权书</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2</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营业执照等证明文件</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提供财务状况报告(财务报告、或资信证明）</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4</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依法缴纳税收证明材料</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5</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依法缴纳社会保障资金证明材料</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6</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具备履行合同所必需设备和专业技术能力的声明函(若有)</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7</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参加采购活动前三年内在经营活动中没有重大违法记录的声明</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8</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信用记录查询结果</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9</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中小企业声明函（以资格条件落实中小企业扶持政策时适用 ）</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Layout w:type="fixed"/>
          <w:tblCellMar>
            <w:top w:w="0" w:type="dxa"/>
            <w:left w:w="0" w:type="dxa"/>
            <w:bottom w:w="0" w:type="dxa"/>
            <w:right w:w="0" w:type="dxa"/>
          </w:tblCellMar>
        </w:tblPrEx>
        <w:trPr>
          <w:trHeight w:val="567" w:hRule="atLeast"/>
        </w:trPr>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10</w:t>
            </w:r>
          </w:p>
        </w:tc>
        <w:tc>
          <w:tcPr>
            <w:tcW w:w="19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联合体协议（若有）</w:t>
            </w:r>
          </w:p>
        </w:tc>
        <w:tc>
          <w:tcPr>
            <w:tcW w:w="71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※备注说明</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投标人应根据自身实际情况提供上述资格要求的证明材料，格式可参考招标文件第七章提供。</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投标人提供的相应证明材料复印件均应符合：内容完整、清晰、整洁，并由投标人加盖其单位公章。</w:t>
      </w:r>
    </w:p>
    <w:p>
      <w:pPr>
        <w:widowControl/>
        <w:shd w:val="clear" w:color="auto" w:fill="FFFFFF"/>
        <w:wordWrap w:val="0"/>
        <w:ind w:firstLine="480" w:firstLineChars="200"/>
        <w:jc w:val="left"/>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根据招标文件第四章第一点资格审查的1.3“</w:t>
      </w:r>
      <w:r>
        <w:rPr>
          <w:rFonts w:hint="eastAsia" w:ascii="宋体" w:hAnsi="宋体" w:eastAsia="宋体" w:cs="宋体"/>
          <w:kern w:val="0"/>
          <w:sz w:val="24"/>
          <w:szCs w:val="24"/>
        </w:rPr>
        <w:t>④</w:t>
      </w:r>
      <w:r>
        <w:rPr>
          <w:rFonts w:ascii="宋体" w:hAnsi="宋体" w:eastAsia="宋体" w:cs="Noto Sans"/>
          <w:kern w:val="0"/>
          <w:sz w:val="24"/>
          <w:szCs w:val="24"/>
        </w:rPr>
        <w:t>其他资格证明文件”要求，允许供应商采用资格承诺制的并提供符合要求的资格承诺函，视为满足招标文件的资格要求。</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.其他资格证明文件：</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tbl>
      <w:tblPr>
        <w:tblStyle w:val="13"/>
        <w:tblW w:w="9878" w:type="dxa"/>
        <w:tblInd w:w="0" w:type="dxa"/>
        <w:tblLayout w:type="fixed"/>
        <w:tblCellMar>
          <w:top w:w="0" w:type="dxa"/>
          <w:left w:w="0" w:type="dxa"/>
          <w:bottom w:w="0" w:type="dxa"/>
          <w:right w:w="0" w:type="dxa"/>
        </w:tblCellMar>
      </w:tblPr>
      <w:tblGrid>
        <w:gridCol w:w="2304"/>
        <w:gridCol w:w="7574"/>
      </w:tblGrid>
      <w:tr>
        <w:tblPrEx>
          <w:tblLayout w:type="fixed"/>
          <w:tblCellMar>
            <w:top w:w="0" w:type="dxa"/>
            <w:left w:w="0" w:type="dxa"/>
            <w:bottom w:w="0" w:type="dxa"/>
            <w:right w:w="0" w:type="dxa"/>
          </w:tblCellMar>
        </w:tblPrEx>
        <w:trPr>
          <w:trHeight w:val="567" w:hRule="atLeast"/>
        </w:trPr>
        <w:tc>
          <w:tcPr>
            <w:tcW w:w="230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资格审查要求概况</w:t>
            </w:r>
          </w:p>
        </w:tc>
        <w:tc>
          <w:tcPr>
            <w:tcW w:w="757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评审点具体描述</w:t>
            </w:r>
          </w:p>
        </w:tc>
      </w:tr>
      <w:tr>
        <w:tblPrEx>
          <w:tblLayout w:type="fixed"/>
          <w:tblCellMar>
            <w:top w:w="0" w:type="dxa"/>
            <w:left w:w="0" w:type="dxa"/>
            <w:bottom w:w="0" w:type="dxa"/>
            <w:right w:w="0" w:type="dxa"/>
          </w:tblCellMar>
        </w:tblPrEx>
        <w:trPr>
          <w:trHeight w:val="567" w:hRule="atLeast"/>
        </w:trPr>
        <w:tc>
          <w:tcPr>
            <w:tcW w:w="230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资格承诺函</w:t>
            </w:r>
          </w:p>
        </w:tc>
        <w:tc>
          <w:tcPr>
            <w:tcW w:w="757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Layout w:type="fixed"/>
          <w:tblCellMar>
            <w:top w:w="0" w:type="dxa"/>
            <w:left w:w="0" w:type="dxa"/>
            <w:bottom w:w="0" w:type="dxa"/>
            <w:right w:w="0" w:type="dxa"/>
          </w:tblCellMar>
        </w:tblPrEx>
        <w:trPr>
          <w:trHeight w:val="567" w:hRule="atLeast"/>
        </w:trPr>
        <w:tc>
          <w:tcPr>
            <w:tcW w:w="230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本采购包属于专门面向中小企业采购。</w:t>
            </w:r>
          </w:p>
        </w:tc>
        <w:tc>
          <w:tcPr>
            <w:tcW w:w="757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本采购包为专门面向中小企业采购，投标人须提供中小企业声明函。监狱企业、残疾人福利性单位视同小型、微型企业。</w:t>
            </w:r>
          </w:p>
        </w:tc>
      </w:tr>
    </w:tbl>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（3）投标保证金。</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1.4有下列情形之一的，资格审查不合格：</w:t>
      </w:r>
    </w:p>
    <w:tbl>
      <w:tblPr>
        <w:tblStyle w:val="13"/>
        <w:tblW w:w="9878" w:type="dxa"/>
        <w:tblInd w:w="0" w:type="dxa"/>
        <w:tblLayout w:type="fixed"/>
        <w:tblCellMar>
          <w:top w:w="0" w:type="dxa"/>
          <w:left w:w="0" w:type="dxa"/>
          <w:bottom w:w="0" w:type="dxa"/>
          <w:right w:w="0" w:type="dxa"/>
        </w:tblCellMar>
      </w:tblPr>
      <w:tblGrid>
        <w:gridCol w:w="9878"/>
      </w:tblGrid>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jc w:val="center"/>
              <w:rPr>
                <w:rFonts w:ascii="宋体" w:hAnsi="宋体" w:eastAsia="宋体" w:cs="宋体"/>
                <w:b/>
                <w:bCs/>
                <w:kern w:val="0"/>
                <w:sz w:val="24"/>
                <w:szCs w:val="24"/>
              </w:rPr>
            </w:pPr>
            <w:r>
              <w:rPr>
                <w:rFonts w:ascii="宋体" w:hAnsi="宋体" w:eastAsia="宋体" w:cs="宋体"/>
                <w:b/>
                <w:bCs/>
                <w:kern w:val="0"/>
                <w:sz w:val="24"/>
                <w:szCs w:val="24"/>
              </w:rPr>
              <w:t>明细</w:t>
            </w:r>
          </w:p>
        </w:tc>
      </w:tr>
      <w:tr>
        <w:tblPrEx>
          <w:tblLayout w:type="fixed"/>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jc w:val="left"/>
              <w:rPr>
                <w:rFonts w:ascii="宋体" w:hAnsi="宋体" w:eastAsia="宋体" w:cs="宋体"/>
                <w:kern w:val="0"/>
                <w:sz w:val="24"/>
                <w:szCs w:val="24"/>
              </w:rPr>
            </w:pPr>
            <w:r>
              <w:rPr>
                <w:rFonts w:ascii="宋体" w:hAnsi="宋体" w:eastAsia="宋体" w:cs="宋体"/>
                <w:kern w:val="0"/>
                <w:sz w:val="24"/>
                <w:szCs w:val="24"/>
              </w:rPr>
              <w:t>未按照招标文件规定提交投标函</w:t>
            </w:r>
          </w:p>
        </w:tc>
      </w:tr>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未按照招标文件规定提交投标人的资格及资信文件</w:t>
            </w:r>
          </w:p>
        </w:tc>
      </w:tr>
      <w:tr>
        <w:tblPrEx>
          <w:tblLayout w:type="fixed"/>
          <w:tblCellMar>
            <w:top w:w="0" w:type="dxa"/>
            <w:left w:w="0" w:type="dxa"/>
            <w:bottom w:w="0" w:type="dxa"/>
            <w:right w:w="0" w:type="dxa"/>
          </w:tblCellMar>
        </w:tblPrEx>
        <w:trPr>
          <w:trHeight w:val="567" w:hRule="atLeast"/>
        </w:trPr>
        <w:tc>
          <w:tcPr>
            <w:tcW w:w="987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未按照招标文件规定提交投标保证金</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资格审查不合格项：无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2、资格审查情况不得私自外泄，有关信息由 福建省承诚招标代理有限公司 统一对外发布。</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3、资格审查合格的投标人不足三家的，不进行评标。同时，本次采购活动结束， 福建省承诚招标代理有限公司 将依法组织后续采购活动（包括但不限于：重新招标、采用其他方式采购等）。</w:t>
      </w: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二、评标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4、资格审查结束后，由 福建省承诚招标代理有限公司 负责评标委员会的组建及评标工作的组织。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5、评标委员会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由采购人代表和评审专家两部分共5人组成， 其中由福建省政府采购评审专家库产生的评审专家4人， 由采购人派出的采购人代表1人。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5.2评标委员会负责具体评标事务，并按照下列原则依法独立履行有关职责：</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（1）评标应保护国家利益、社会公共利益和各方当事人合法权益，提高采购效益，保证项目质量。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（2）评标应遵循公平、公正、科学、严谨和择优原则。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（3）评标的依据是招标文件和电子投标文件。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（4）应按照招标文件规定推荐中标候选人或确定中标人。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（5）评标应遵守下列评标纪律：</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评标情况不得私自外泄，有关信息由 福建省承诚招标代理有限公司 统一对外发布。</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对 福建省承诚招标代理有限公司 或投标人提供的要求保密的资料，不得摘记翻印和外传。</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不得收受投标人或有关人员的任何礼物，不得串联鼓动其他人袒护某投标人。若与投标人存在利害关系，则应主动声明并回避。</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全体评委应按照招标文件规定进行评标，一切认定事项应查有实据且不得弄虚作假。</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⑤</w:t>
      </w:r>
      <w:r>
        <w:rPr>
          <w:rFonts w:ascii="宋体" w:hAnsi="宋体" w:eastAsia="宋体" w:cs="Noto Sans"/>
          <w:kern w:val="0"/>
          <w:sz w:val="24"/>
          <w:szCs w:val="24"/>
        </w:rPr>
        <w:t>评标中应充分发扬民主，推荐中标候选人或确定中标人后要服从评标报告。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※对违反评标纪律的评委，将取消其评委资格，对评标工作造成严重损失者将予以通报批评乃至追究法律责任。</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6、评标程序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6.1评标前的准备工作</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（1）全体评委应认真审阅招标文件，了解评委应履行或遵守的职责、义务和评标纪律。</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6.2符合性审查</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（1）评标委员会依据招标文件的实质性要求，对通过资格审查的电子投标文件进行符合性审查，以确定其是否满足招标文件的实质性要求。</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（2）满足招标文件的实质性要求指电子投标文件对招标文件实质性要求的响应不存在重大偏差或保留。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（5）评标委员会对所有投标人都执行相同的程序和标准。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（6）有下列情形之一的，符合性审查不合格：</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项目一般情形：</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tbl>
      <w:tblPr>
        <w:tblStyle w:val="13"/>
        <w:tblW w:w="9878" w:type="dxa"/>
        <w:tblInd w:w="0" w:type="dxa"/>
        <w:tblLayout w:type="fixed"/>
        <w:tblCellMar>
          <w:top w:w="0" w:type="dxa"/>
          <w:left w:w="0" w:type="dxa"/>
          <w:bottom w:w="0" w:type="dxa"/>
          <w:right w:w="0" w:type="dxa"/>
        </w:tblCellMar>
      </w:tblPr>
      <w:tblGrid>
        <w:gridCol w:w="1367"/>
        <w:gridCol w:w="3631"/>
        <w:gridCol w:w="4880"/>
      </w:tblGrid>
      <w:tr>
        <w:tblPrEx>
          <w:tblLayout w:type="fixed"/>
          <w:tblCellMar>
            <w:top w:w="0" w:type="dxa"/>
            <w:left w:w="0" w:type="dxa"/>
            <w:bottom w:w="0" w:type="dxa"/>
            <w:right w:w="0" w:type="dxa"/>
          </w:tblCellMar>
        </w:tblPrEx>
        <w:trPr>
          <w:trHeight w:val="567" w:hRule="atLeast"/>
        </w:trPr>
        <w:tc>
          <w:tcPr>
            <w:tcW w:w="1367"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jc w:val="center"/>
              <w:rPr>
                <w:rFonts w:ascii="宋体" w:hAnsi="宋体" w:eastAsia="宋体" w:cs="宋体"/>
                <w:b/>
                <w:bCs/>
                <w:kern w:val="0"/>
                <w:sz w:val="24"/>
                <w:szCs w:val="24"/>
              </w:rPr>
            </w:pPr>
            <w:r>
              <w:rPr>
                <w:rFonts w:ascii="宋体" w:hAnsi="宋体" w:eastAsia="宋体" w:cs="宋体"/>
                <w:b/>
                <w:bCs/>
                <w:kern w:val="0"/>
                <w:sz w:val="24"/>
                <w:szCs w:val="24"/>
              </w:rPr>
              <w:t>序号</w:t>
            </w:r>
          </w:p>
        </w:tc>
        <w:tc>
          <w:tcPr>
            <w:tcW w:w="363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符合审查要求概况</w:t>
            </w:r>
          </w:p>
        </w:tc>
        <w:tc>
          <w:tcPr>
            <w:tcW w:w="488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评审点具体描述</w:t>
            </w:r>
          </w:p>
        </w:tc>
      </w:tr>
      <w:tr>
        <w:tblPrEx>
          <w:tblLayout w:type="fixed"/>
          <w:tblCellMar>
            <w:top w:w="0" w:type="dxa"/>
            <w:left w:w="0" w:type="dxa"/>
            <w:bottom w:w="0" w:type="dxa"/>
            <w:right w:w="0" w:type="dxa"/>
          </w:tblCellMar>
        </w:tblPrEx>
        <w:trPr>
          <w:trHeight w:val="567" w:hRule="atLeast"/>
        </w:trPr>
        <w:tc>
          <w:tcPr>
            <w:tcW w:w="136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363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情形1</w:t>
            </w:r>
          </w:p>
        </w:tc>
        <w:tc>
          <w:tcPr>
            <w:tcW w:w="488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jc w:val="left"/>
              <w:rPr>
                <w:rFonts w:ascii="宋体" w:hAnsi="宋体" w:eastAsia="宋体" w:cs="宋体"/>
                <w:kern w:val="0"/>
                <w:sz w:val="24"/>
                <w:szCs w:val="24"/>
              </w:rPr>
            </w:pPr>
            <w:r>
              <w:rPr>
                <w:rFonts w:ascii="宋体" w:hAnsi="宋体" w:eastAsia="宋体" w:cs="宋体"/>
                <w:kern w:val="0"/>
                <w:sz w:val="24"/>
                <w:szCs w:val="24"/>
              </w:rPr>
              <w:t>违反招标文件中载明“投标无效”条款的规定；</w:t>
            </w:r>
          </w:p>
        </w:tc>
      </w:tr>
      <w:tr>
        <w:tblPrEx>
          <w:tblLayout w:type="fixed"/>
          <w:tblCellMar>
            <w:top w:w="0" w:type="dxa"/>
            <w:left w:w="0" w:type="dxa"/>
            <w:bottom w:w="0" w:type="dxa"/>
            <w:right w:w="0" w:type="dxa"/>
          </w:tblCellMar>
        </w:tblPrEx>
        <w:trPr>
          <w:trHeight w:val="567" w:hRule="atLeast"/>
        </w:trPr>
        <w:tc>
          <w:tcPr>
            <w:tcW w:w="136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2</w:t>
            </w:r>
          </w:p>
        </w:tc>
        <w:tc>
          <w:tcPr>
            <w:tcW w:w="363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情形2</w:t>
            </w:r>
          </w:p>
        </w:tc>
        <w:tc>
          <w:tcPr>
            <w:tcW w:w="488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属于招标文件第三章第10.12条规定的投标无效情形；</w:t>
            </w:r>
          </w:p>
        </w:tc>
      </w:tr>
      <w:tr>
        <w:tblPrEx>
          <w:tblLayout w:type="fixed"/>
          <w:tblCellMar>
            <w:top w:w="0" w:type="dxa"/>
            <w:left w:w="0" w:type="dxa"/>
            <w:bottom w:w="0" w:type="dxa"/>
            <w:right w:w="0" w:type="dxa"/>
          </w:tblCellMar>
        </w:tblPrEx>
        <w:trPr>
          <w:trHeight w:val="567" w:hRule="atLeast"/>
        </w:trPr>
        <w:tc>
          <w:tcPr>
            <w:tcW w:w="136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w:t>
            </w:r>
          </w:p>
        </w:tc>
        <w:tc>
          <w:tcPr>
            <w:tcW w:w="363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情形3</w:t>
            </w:r>
          </w:p>
        </w:tc>
        <w:tc>
          <w:tcPr>
            <w:tcW w:w="488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投标文件对招标文件实质性要求的响应存在重大偏离或保留。</w:t>
            </w:r>
          </w:p>
        </w:tc>
      </w:tr>
    </w:tbl>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本项目规定的其他情形：</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采购包1：</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技术符合性</w:t>
      </w:r>
    </w:p>
    <w:tbl>
      <w:tblPr>
        <w:tblStyle w:val="13"/>
        <w:tblW w:w="9878" w:type="dxa"/>
        <w:tblInd w:w="0" w:type="dxa"/>
        <w:tblLayout w:type="fixed"/>
        <w:tblCellMar>
          <w:top w:w="0" w:type="dxa"/>
          <w:left w:w="0" w:type="dxa"/>
          <w:bottom w:w="0" w:type="dxa"/>
          <w:right w:w="0" w:type="dxa"/>
        </w:tblCellMar>
      </w:tblPr>
      <w:tblGrid>
        <w:gridCol w:w="1841"/>
        <w:gridCol w:w="747"/>
        <w:gridCol w:w="7290"/>
      </w:tblGrid>
      <w:tr>
        <w:tblPrEx>
          <w:tblLayout w:type="fixed"/>
          <w:tblCellMar>
            <w:top w:w="0" w:type="dxa"/>
            <w:left w:w="0" w:type="dxa"/>
            <w:bottom w:w="0" w:type="dxa"/>
            <w:right w:w="0" w:type="dxa"/>
          </w:tblCellMar>
        </w:tblPrEx>
        <w:trPr>
          <w:trHeight w:val="567" w:hRule="atLeast"/>
        </w:trPr>
        <w:tc>
          <w:tcPr>
            <w:tcW w:w="18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jc w:val="center"/>
              <w:rPr>
                <w:rFonts w:ascii="宋体" w:hAnsi="宋体" w:eastAsia="宋体" w:cs="宋体"/>
                <w:b/>
                <w:bCs/>
                <w:kern w:val="0"/>
                <w:sz w:val="24"/>
                <w:szCs w:val="24"/>
              </w:rPr>
            </w:pPr>
            <w:r>
              <w:rPr>
                <w:rFonts w:ascii="宋体" w:hAnsi="宋体" w:eastAsia="宋体" w:cs="宋体"/>
                <w:b/>
                <w:bCs/>
                <w:kern w:val="0"/>
                <w:sz w:val="24"/>
                <w:szCs w:val="24"/>
              </w:rPr>
              <w:t>情形</w:t>
            </w:r>
          </w:p>
        </w:tc>
        <w:tc>
          <w:tcPr>
            <w:tcW w:w="747"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是否客观项</w:t>
            </w:r>
          </w:p>
        </w:tc>
        <w:tc>
          <w:tcPr>
            <w:tcW w:w="729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明细</w:t>
            </w:r>
          </w:p>
        </w:tc>
      </w:tr>
      <w:tr>
        <w:tblPrEx>
          <w:tblLayout w:type="fixed"/>
          <w:tblCellMar>
            <w:top w:w="0" w:type="dxa"/>
            <w:left w:w="0" w:type="dxa"/>
            <w:bottom w:w="0" w:type="dxa"/>
            <w:right w:w="0" w:type="dxa"/>
          </w:tblCellMar>
        </w:tblPrEx>
        <w:trPr>
          <w:trHeight w:val="567" w:hRule="atLeast"/>
        </w:trPr>
        <w:tc>
          <w:tcPr>
            <w:tcW w:w="18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技术符合性</w:t>
            </w:r>
          </w:p>
        </w:tc>
        <w:tc>
          <w:tcPr>
            <w:tcW w:w="74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是</w:t>
            </w:r>
          </w:p>
        </w:tc>
        <w:tc>
          <w:tcPr>
            <w:tcW w:w="729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jc w:val="left"/>
              <w:rPr>
                <w:rFonts w:ascii="宋体" w:hAnsi="宋体" w:eastAsia="宋体" w:cs="宋体"/>
                <w:kern w:val="0"/>
                <w:sz w:val="24"/>
                <w:szCs w:val="24"/>
              </w:rPr>
            </w:pPr>
            <w:r>
              <w:rPr>
                <w:rFonts w:ascii="宋体" w:hAnsi="宋体" w:eastAsia="宋体" w:cs="宋体"/>
                <w:kern w:val="0"/>
                <w:sz w:val="24"/>
                <w:szCs w:val="24"/>
              </w:rPr>
              <w:t>1、投标文件的技术部分中出现报价部分的全部或部分的投标报价信息（或组成资料），按无效投标处理。2、投标人未在投标文件中完全响应招标文件第五章招标内容及要求中“二、技术和服务要求” 全部内容的，按无效投标处理。3、不符合招标文件中规定的其它实质性要求的条款，按无效投标处理。</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商务符合性</w:t>
      </w:r>
    </w:p>
    <w:tbl>
      <w:tblPr>
        <w:tblStyle w:val="13"/>
        <w:tblW w:w="9878" w:type="dxa"/>
        <w:tblInd w:w="0" w:type="dxa"/>
        <w:tblLayout w:type="fixed"/>
        <w:tblCellMar>
          <w:top w:w="0" w:type="dxa"/>
          <w:left w:w="0" w:type="dxa"/>
          <w:bottom w:w="0" w:type="dxa"/>
          <w:right w:w="0" w:type="dxa"/>
        </w:tblCellMar>
      </w:tblPr>
      <w:tblGrid>
        <w:gridCol w:w="1841"/>
        <w:gridCol w:w="747"/>
        <w:gridCol w:w="7290"/>
      </w:tblGrid>
      <w:tr>
        <w:tblPrEx>
          <w:tblLayout w:type="fixed"/>
          <w:tblCellMar>
            <w:top w:w="0" w:type="dxa"/>
            <w:left w:w="0" w:type="dxa"/>
            <w:bottom w:w="0" w:type="dxa"/>
            <w:right w:w="0" w:type="dxa"/>
          </w:tblCellMar>
        </w:tblPrEx>
        <w:trPr>
          <w:trHeight w:val="567" w:hRule="atLeast"/>
        </w:trPr>
        <w:tc>
          <w:tcPr>
            <w:tcW w:w="18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jc w:val="center"/>
              <w:rPr>
                <w:rFonts w:ascii="宋体" w:hAnsi="宋体" w:eastAsia="宋体" w:cs="宋体"/>
                <w:b/>
                <w:bCs/>
                <w:kern w:val="0"/>
                <w:sz w:val="24"/>
                <w:szCs w:val="24"/>
              </w:rPr>
            </w:pPr>
            <w:r>
              <w:rPr>
                <w:rFonts w:ascii="宋体" w:hAnsi="宋体" w:eastAsia="宋体" w:cs="宋体"/>
                <w:b/>
                <w:bCs/>
                <w:kern w:val="0"/>
                <w:sz w:val="24"/>
                <w:szCs w:val="24"/>
              </w:rPr>
              <w:t>情形</w:t>
            </w:r>
          </w:p>
        </w:tc>
        <w:tc>
          <w:tcPr>
            <w:tcW w:w="747"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是否客观项</w:t>
            </w:r>
          </w:p>
        </w:tc>
        <w:tc>
          <w:tcPr>
            <w:tcW w:w="729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明细</w:t>
            </w:r>
          </w:p>
        </w:tc>
      </w:tr>
      <w:tr>
        <w:tblPrEx>
          <w:tblLayout w:type="fixed"/>
          <w:tblCellMar>
            <w:top w:w="0" w:type="dxa"/>
            <w:left w:w="0" w:type="dxa"/>
            <w:bottom w:w="0" w:type="dxa"/>
            <w:right w:w="0" w:type="dxa"/>
          </w:tblCellMar>
        </w:tblPrEx>
        <w:trPr>
          <w:trHeight w:val="567" w:hRule="atLeast"/>
        </w:trPr>
        <w:tc>
          <w:tcPr>
            <w:tcW w:w="18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商务符合性</w:t>
            </w:r>
          </w:p>
        </w:tc>
        <w:tc>
          <w:tcPr>
            <w:tcW w:w="74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是</w:t>
            </w:r>
          </w:p>
        </w:tc>
        <w:tc>
          <w:tcPr>
            <w:tcW w:w="729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jc w:val="left"/>
              <w:rPr>
                <w:rFonts w:ascii="宋体" w:hAnsi="宋体" w:eastAsia="宋体" w:cs="宋体"/>
                <w:kern w:val="0"/>
                <w:sz w:val="24"/>
                <w:szCs w:val="24"/>
              </w:rPr>
            </w:pPr>
            <w:r>
              <w:rPr>
                <w:rFonts w:ascii="宋体" w:hAnsi="宋体" w:eastAsia="宋体" w:cs="宋体"/>
                <w:kern w:val="0"/>
                <w:sz w:val="24"/>
                <w:szCs w:val="24"/>
              </w:rPr>
              <w:t>1、投标人未在投标文件中完全响应招标文件第五章招标内容及要求中 “三、商务条件”全部内容的，按无效投标处理。2、投标文件的商务部分中出现报价部分的全部或部分的投标报价信息（或组成资料），按无效投标处理。3、不符合招标文件中规定的其它实质性要求的条款，按无效投标处理。</w:t>
            </w: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价格符合性：无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6.3澄清有关问题</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（1）对通过符合性审查的电子投标文件中含义不明确、同类问题表述不一致或有明显文字和计算错误的内容，评标委员会将以书面形式要求投标人作出必要的澄清、说明或补正。</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（3）电子投标文件报价出现前后不一致的，除招标文件另有规定外，按照下列规定修正：</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开标（报价）一览表内容与电子投标文件中相应内容不一致的，以开标（报价）一览表为准；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大写金额和小写金额不一致的，以大写金额为准；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单价金额小数点或百分比有明显错位的，以开标（报价）一览表的总价为准，并修改单价；</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总价金额与按照单价汇总金额不一致的，以单价金额计算结果为准。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※同时出现两种以上不一致的，按照前款规定的顺序修正。修正后的报价应按照本章第6.3条第（1）、（2）款规定经投标人确认后产生约束力，投标人不确认的，其投标无效。</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（4）关于细微偏差</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评标委员会将以书面形式要求存在细微偏差的投标人在评标委员会规定的时间内予以补正。若无法补正，则评标委员会将按照不利于投标人的内容进行认定。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（5）关于投标描述（即电子投标文件中描述的内容）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投标描述前后不一致且不涉及证明材料的：按照本章第6.3条第（1）、（2）款规定执行。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投标描述与证明材料不一致或多份证明材料之间不一致的：</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a.评标委员会将要求投标人进行书面澄清，并按照不利于投标人的内容进行评标。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6.4比较与评价</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（1）按照本章第7条载明的评标方法和标准，对符合性审查合格的电子投标文件进行比较与评价。</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（2）关于相同品牌产品（政府采购服务类项目不适用本条款规定）</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采用最低评标价法的，提供相同品牌产品的不同投标人参加同一合同项下投标的，以其中通过资格审查、符合性审查且报价最低的参加评标；报价相同的，由评标委员会按照下列方式确定一个参加评标的投标人：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a.招标文件规定的方式：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b.招标文件未规定的，采取随机抽取方式确定，其他投标无效。</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a.招标文件规定的方式：</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b.招标文件未规定的，采取随机抽取方式确定，其他同品牌投标人不作为中标候选人。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非单一产品采购项目，多家投标人提供的核心产品品牌相同的，按照本章第6.4条第（2）款第</w:t>
      </w:r>
      <w:r>
        <w:rPr>
          <w:rFonts w:hint="eastAsia" w:ascii="宋体" w:hAnsi="宋体" w:eastAsia="宋体" w:cs="宋体"/>
          <w:kern w:val="0"/>
          <w:sz w:val="24"/>
          <w:szCs w:val="24"/>
        </w:rPr>
        <w:t>①</w:t>
      </w:r>
      <w:r>
        <w:rPr>
          <w:rFonts w:ascii="宋体" w:hAnsi="宋体" w:eastAsia="宋体" w:cs="Noto Sans"/>
          <w:kern w:val="0"/>
          <w:sz w:val="24"/>
          <w:szCs w:val="24"/>
        </w:rPr>
        <w:t>、</w:t>
      </w:r>
      <w:r>
        <w:rPr>
          <w:rFonts w:hint="eastAsia" w:ascii="宋体" w:hAnsi="宋体" w:eastAsia="宋体" w:cs="宋体"/>
          <w:kern w:val="0"/>
          <w:sz w:val="24"/>
          <w:szCs w:val="24"/>
        </w:rPr>
        <w:t>②</w:t>
      </w:r>
      <w:r>
        <w:rPr>
          <w:rFonts w:ascii="宋体" w:hAnsi="宋体" w:eastAsia="宋体" w:cs="Noto Sans"/>
          <w:kern w:val="0"/>
          <w:sz w:val="24"/>
          <w:szCs w:val="24"/>
        </w:rPr>
        <w:t>规定处理。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（3）漏（缺）项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招标文件中要求列入报价的费用（含配置、功能），漏（缺）项的报价视为已经包括在投标总价中。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对多报项及赠送项的价格评标时不予核减，全部进入评标价评议。</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6.5推荐中标候选人：详见本章第7.2条规定。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6.6编写评标报告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（1）评标报告由评标委员会负责编写。</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（2）评标报告应包括下列内容：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①</w:t>
      </w:r>
      <w:r>
        <w:rPr>
          <w:rFonts w:ascii="宋体" w:hAnsi="宋体" w:eastAsia="宋体" w:cs="Noto Sans"/>
          <w:kern w:val="0"/>
          <w:sz w:val="24"/>
          <w:szCs w:val="24"/>
        </w:rPr>
        <w:t>招标公告刊登的媒体名称、开标日期和地点；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②</w:t>
      </w:r>
      <w:r>
        <w:rPr>
          <w:rFonts w:ascii="宋体" w:hAnsi="宋体" w:eastAsia="宋体" w:cs="Noto Sans"/>
          <w:kern w:val="0"/>
          <w:sz w:val="24"/>
          <w:szCs w:val="24"/>
        </w:rPr>
        <w:t>投标人名单和评标委员会成员名单；</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③</w:t>
      </w:r>
      <w:r>
        <w:rPr>
          <w:rFonts w:ascii="宋体" w:hAnsi="宋体" w:eastAsia="宋体" w:cs="Noto Sans"/>
          <w:kern w:val="0"/>
          <w:sz w:val="24"/>
          <w:szCs w:val="24"/>
        </w:rPr>
        <w:t>评标方法和标准；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④</w:t>
      </w:r>
      <w:r>
        <w:rPr>
          <w:rFonts w:ascii="宋体" w:hAnsi="宋体" w:eastAsia="宋体" w:cs="Noto Sans"/>
          <w:kern w:val="0"/>
          <w:sz w:val="24"/>
          <w:szCs w:val="24"/>
        </w:rPr>
        <w:t>开标记录和评标情况及说明，包括无效投标人名单及原因；</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⑤</w:t>
      </w:r>
      <w:r>
        <w:rPr>
          <w:rFonts w:ascii="宋体" w:hAnsi="宋体" w:eastAsia="宋体" w:cs="Noto Sans"/>
          <w:kern w:val="0"/>
          <w:sz w:val="24"/>
          <w:szCs w:val="24"/>
        </w:rPr>
        <w:t>评标结果，包括中标候选人名单或确定的中标人；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宋体"/>
          <w:kern w:val="0"/>
          <w:sz w:val="24"/>
          <w:szCs w:val="24"/>
        </w:rPr>
        <w:t>⑥</w:t>
      </w:r>
      <w:r>
        <w:rPr>
          <w:rFonts w:ascii="宋体" w:hAnsi="宋体" w:eastAsia="宋体" w:cs="Noto Sans"/>
          <w:kern w:val="0"/>
          <w:sz w:val="24"/>
          <w:szCs w:val="24"/>
        </w:rPr>
        <w:t>其他需要说明的情况，包括但不限于：评标过程中投标人的澄清、说明或补正，评委更换等。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6.8评委对需要共同认定的事项存在争议的，应按照少数服从多数的原则进行认定。持不同意见的评委应在评标报告上签署不同意见及理由，否则视为同意评标报告。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6.9在评标过程中发现投标人有下列情形之一的，评标委员会应认定其投标无效，并书面报告本项目监督管理部门：</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（1）恶意串通（包括但不限于招标文件第三章第9.7条规定情形）；</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（2）妨碍其他投标人的竞争行为；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（3）损害采购人或其他投标人的合法权益。</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6.10评标过程中，有下列情形之一的，应予废标：</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（1）符合性审查合格的投标人不足三家的；</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（2）有关法律、法规和规章规定废标的情形。</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※若废标，则本次采购活动结束， 福建省承诚招标代理有限公司 将依法组织后续采购活动（包括但不限于：重新招标、采用其他方式采购等）。</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7、评标方法和标准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7.1评标方法：</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采购包1：最低评标价法</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7.2评标标准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采购包1：最低评标价法</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异常低价审查</w:t>
      </w:r>
    </w:p>
    <w:tbl>
      <w:tblPr>
        <w:tblStyle w:val="13"/>
        <w:tblW w:w="9878" w:type="dxa"/>
        <w:tblInd w:w="0" w:type="dxa"/>
        <w:tblLayout w:type="fixed"/>
        <w:tblCellMar>
          <w:top w:w="0" w:type="dxa"/>
          <w:left w:w="0" w:type="dxa"/>
          <w:bottom w:w="0" w:type="dxa"/>
          <w:right w:w="0" w:type="dxa"/>
        </w:tblCellMar>
      </w:tblPr>
      <w:tblGrid>
        <w:gridCol w:w="2308"/>
        <w:gridCol w:w="7570"/>
      </w:tblGrid>
      <w:tr>
        <w:tblPrEx>
          <w:tblLayout w:type="fixed"/>
          <w:tblCellMar>
            <w:top w:w="0" w:type="dxa"/>
            <w:left w:w="0" w:type="dxa"/>
            <w:bottom w:w="0" w:type="dxa"/>
            <w:right w:w="0" w:type="dxa"/>
          </w:tblCellMar>
        </w:tblPrEx>
        <w:trPr>
          <w:trHeight w:val="567" w:hRule="atLeast"/>
          <w:tblHeader/>
        </w:trPr>
        <w:tc>
          <w:tcPr>
            <w:tcW w:w="230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jc w:val="center"/>
              <w:rPr>
                <w:rFonts w:ascii="宋体" w:hAnsi="宋体" w:eastAsia="宋体" w:cs="宋体"/>
                <w:b/>
                <w:bCs/>
                <w:kern w:val="0"/>
                <w:sz w:val="24"/>
                <w:szCs w:val="24"/>
              </w:rPr>
            </w:pPr>
            <w:r>
              <w:rPr>
                <w:rFonts w:ascii="宋体" w:hAnsi="宋体" w:eastAsia="宋体" w:cs="宋体"/>
                <w:b/>
                <w:bCs/>
                <w:kern w:val="0"/>
                <w:sz w:val="24"/>
                <w:szCs w:val="24"/>
              </w:rPr>
              <w:t>项目</w:t>
            </w:r>
          </w:p>
        </w:tc>
        <w:tc>
          <w:tcPr>
            <w:tcW w:w="757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b/>
                <w:bCs/>
                <w:kern w:val="0"/>
                <w:sz w:val="24"/>
                <w:szCs w:val="24"/>
              </w:rPr>
            </w:pPr>
            <w:r>
              <w:rPr>
                <w:rFonts w:ascii="宋体" w:hAnsi="宋体" w:eastAsia="宋体" w:cs="宋体"/>
                <w:b/>
                <w:bCs/>
                <w:kern w:val="0"/>
                <w:sz w:val="24"/>
                <w:szCs w:val="24"/>
              </w:rPr>
              <w:t>描述</w:t>
            </w:r>
          </w:p>
        </w:tc>
      </w:tr>
      <w:tr>
        <w:tblPrEx>
          <w:tblLayout w:type="fixed"/>
          <w:tblCellMar>
            <w:top w:w="0" w:type="dxa"/>
            <w:left w:w="0" w:type="dxa"/>
            <w:bottom w:w="0" w:type="dxa"/>
            <w:right w:w="0" w:type="dxa"/>
          </w:tblCellMar>
        </w:tblPrEx>
        <w:trPr>
          <w:trHeight w:val="567" w:hRule="atLeast"/>
        </w:trPr>
        <w:tc>
          <w:tcPr>
            <w:tcW w:w="230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jc w:val="center"/>
              <w:rPr>
                <w:rFonts w:ascii="宋体" w:hAnsi="宋体" w:eastAsia="宋体" w:cs="宋体"/>
                <w:kern w:val="0"/>
                <w:sz w:val="24"/>
                <w:szCs w:val="24"/>
              </w:rPr>
            </w:pPr>
            <w:r>
              <w:rPr>
                <w:rFonts w:ascii="宋体" w:hAnsi="宋体" w:eastAsia="宋体" w:cs="宋体"/>
                <w:kern w:val="0"/>
                <w:sz w:val="24"/>
                <w:szCs w:val="24"/>
              </w:rPr>
              <w:t>异常低价审查</w:t>
            </w:r>
          </w:p>
        </w:tc>
        <w:tc>
          <w:tcPr>
            <w:tcW w:w="757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hint="eastAsia" w:ascii="宋体" w:hAnsi="宋体" w:eastAsia="宋体" w:cs="宋体"/>
                <w:kern w:val="0"/>
                <w:sz w:val="24"/>
                <w:szCs w:val="24"/>
              </w:rPr>
              <w:t>根据《关于推动解决政府采购异常低价问题的通知》（财库〔2026〕2号）等相关规定，政府采购评审中出现下列情形之一的，评审委员会应当启动异常低价投标（响应）审查程序： （1）2026年福州市产品质量检验所工业产品检验检测设备更新项目-项目4响应报价低于全部通过符合性审查供应商响应报价平均值65%的，即2026年福州市产品质量检验所工业产品检验检测设备更新项目-项目4响应报价&lt;全部通过符合性审查供应商响应报价平均值×65%。 （2）2026年福州市产品质量检验所工业产品检验检测设备更新项目-项目4响应报价低于通过符合性审查且报价次低供应商响应报价65%的，即2026年福州市产品质量检验所工业产品检验检测设备更新项目-项目4响应报价&lt;通过符合性审查且报价次低供应商响应报价×65%。 （3）2026年福州市产品质量检验所工业产品检验检测设备更新项目-项目4响应报价低于最高限价65%的，即2026年福州市产品质量检验所工业产品检验检测设备更新项目-项目4响应报价&lt;最高限价×65%。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异常低价投标（响应）审查的启动原因、审查意见和审查结果应当在评审报告中记录，并随供应商提供的相关书面说明及证明材料，以及评审委员会有关互联网浏览、查询历史一并归档。</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投标文件满足招标文件全部实质性要求，且投标报价最低的投标人为中标候选人。</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价格扣除的规则如下：</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小型、微型企业产品</w:t>
      </w:r>
    </w:p>
    <w:tbl>
      <w:tblPr>
        <w:tblStyle w:val="13"/>
        <w:tblW w:w="9878" w:type="dxa"/>
        <w:tblInd w:w="0" w:type="dxa"/>
        <w:tblLayout w:type="fixed"/>
        <w:tblCellMar>
          <w:top w:w="0" w:type="dxa"/>
          <w:left w:w="0" w:type="dxa"/>
          <w:bottom w:w="0" w:type="dxa"/>
          <w:right w:w="0" w:type="dxa"/>
        </w:tblCellMar>
      </w:tblPr>
      <w:tblGrid>
        <w:gridCol w:w="2023"/>
        <w:gridCol w:w="2023"/>
        <w:gridCol w:w="1130"/>
        <w:gridCol w:w="4702"/>
      </w:tblGrid>
      <w:tr>
        <w:tblPrEx>
          <w:tblLayout w:type="fixed"/>
          <w:tblCellMar>
            <w:top w:w="0" w:type="dxa"/>
            <w:left w:w="0" w:type="dxa"/>
            <w:bottom w:w="0" w:type="dxa"/>
            <w:right w:w="0" w:type="dxa"/>
          </w:tblCellMar>
        </w:tblPrEx>
        <w:trPr>
          <w:trHeight w:val="567" w:hRule="atLeast"/>
          <w:tblHeader/>
        </w:trPr>
        <w:tc>
          <w:tcPr>
            <w:tcW w:w="2023"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项目</w:t>
            </w:r>
          </w:p>
        </w:tc>
        <w:tc>
          <w:tcPr>
            <w:tcW w:w="2023"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适用对象</w:t>
            </w:r>
          </w:p>
        </w:tc>
        <w:tc>
          <w:tcPr>
            <w:tcW w:w="113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比例</w:t>
            </w:r>
          </w:p>
        </w:tc>
        <w:tc>
          <w:tcPr>
            <w:tcW w:w="4702"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描述</w:t>
            </w:r>
          </w:p>
        </w:tc>
      </w:tr>
      <w:tr>
        <w:tblPrEx>
          <w:tblLayout w:type="fixed"/>
          <w:tblCellMar>
            <w:top w:w="0" w:type="dxa"/>
            <w:left w:w="0" w:type="dxa"/>
            <w:bottom w:w="0" w:type="dxa"/>
            <w:right w:w="0" w:type="dxa"/>
          </w:tblCellMar>
        </w:tblPrEx>
        <w:trPr>
          <w:trHeight w:val="567" w:hRule="atLeast"/>
        </w:trPr>
        <w:tc>
          <w:tcPr>
            <w:tcW w:w="9878" w:type="dxa"/>
            <w:gridSpan w:val="4"/>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无</w:t>
            </w:r>
          </w:p>
        </w:tc>
      </w:tr>
    </w:tbl>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实施本国产品标准的价格扣除规则如下</w:t>
      </w:r>
    </w:p>
    <w:tbl>
      <w:tblPr>
        <w:tblStyle w:val="13"/>
        <w:tblW w:w="9878" w:type="dxa"/>
        <w:tblInd w:w="0" w:type="dxa"/>
        <w:tblLayout w:type="fixed"/>
        <w:tblCellMar>
          <w:top w:w="0" w:type="dxa"/>
          <w:left w:w="0" w:type="dxa"/>
          <w:bottom w:w="0" w:type="dxa"/>
          <w:right w:w="0" w:type="dxa"/>
        </w:tblCellMar>
      </w:tblPr>
      <w:tblGrid>
        <w:gridCol w:w="1097"/>
        <w:gridCol w:w="1096"/>
        <w:gridCol w:w="741"/>
        <w:gridCol w:w="6944"/>
      </w:tblGrid>
      <w:tr>
        <w:tblPrEx>
          <w:tblLayout w:type="fixed"/>
          <w:tblCellMar>
            <w:top w:w="0" w:type="dxa"/>
            <w:left w:w="0" w:type="dxa"/>
            <w:bottom w:w="0" w:type="dxa"/>
            <w:right w:w="0" w:type="dxa"/>
          </w:tblCellMar>
        </w:tblPrEx>
        <w:trPr>
          <w:trHeight w:val="567" w:hRule="atLeast"/>
          <w:tblHeader/>
        </w:trPr>
        <w:tc>
          <w:tcPr>
            <w:tcW w:w="1097"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项目</w:t>
            </w:r>
          </w:p>
        </w:tc>
        <w:tc>
          <w:tcPr>
            <w:tcW w:w="1096"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适用对象</w:t>
            </w:r>
          </w:p>
        </w:tc>
        <w:tc>
          <w:tcPr>
            <w:tcW w:w="741"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比例</w:t>
            </w:r>
          </w:p>
        </w:tc>
        <w:tc>
          <w:tcPr>
            <w:tcW w:w="6944"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描述</w:t>
            </w:r>
          </w:p>
        </w:tc>
      </w:tr>
      <w:tr>
        <w:tblPrEx>
          <w:tblLayout w:type="fixed"/>
          <w:tblCellMar>
            <w:top w:w="0" w:type="dxa"/>
            <w:left w:w="0" w:type="dxa"/>
            <w:bottom w:w="0" w:type="dxa"/>
            <w:right w:w="0" w:type="dxa"/>
          </w:tblCellMar>
        </w:tblPrEx>
        <w:trPr>
          <w:trHeight w:val="567" w:hRule="atLeast"/>
        </w:trPr>
        <w:tc>
          <w:tcPr>
            <w:tcW w:w="109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对本国产品的支持政策</w:t>
            </w:r>
          </w:p>
        </w:tc>
        <w:tc>
          <w:tcPr>
            <w:tcW w:w="109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本国产品</w:t>
            </w:r>
          </w:p>
        </w:tc>
        <w:tc>
          <w:tcPr>
            <w:tcW w:w="74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20.00%</w:t>
            </w:r>
          </w:p>
        </w:tc>
        <w:tc>
          <w:tcPr>
            <w:tcW w:w="694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优先类节能产品、环境标志产品的价格扣除规则如下</w:t>
      </w:r>
    </w:p>
    <w:tbl>
      <w:tblPr>
        <w:tblStyle w:val="13"/>
        <w:tblW w:w="9878" w:type="dxa"/>
        <w:tblInd w:w="0" w:type="dxa"/>
        <w:tblLayout w:type="fixed"/>
        <w:tblCellMar>
          <w:top w:w="0" w:type="dxa"/>
          <w:left w:w="0" w:type="dxa"/>
          <w:bottom w:w="0" w:type="dxa"/>
          <w:right w:w="0" w:type="dxa"/>
        </w:tblCellMar>
      </w:tblPr>
      <w:tblGrid>
        <w:gridCol w:w="1530"/>
        <w:gridCol w:w="859"/>
        <w:gridCol w:w="7489"/>
      </w:tblGrid>
      <w:tr>
        <w:tblPrEx>
          <w:tblLayout w:type="fixed"/>
          <w:tblCellMar>
            <w:top w:w="0" w:type="dxa"/>
            <w:left w:w="0" w:type="dxa"/>
            <w:bottom w:w="0" w:type="dxa"/>
            <w:right w:w="0" w:type="dxa"/>
          </w:tblCellMar>
        </w:tblPrEx>
        <w:trPr>
          <w:trHeight w:val="567" w:hRule="atLeast"/>
          <w:tblHeader/>
        </w:trPr>
        <w:tc>
          <w:tcPr>
            <w:tcW w:w="1530"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项目</w:t>
            </w:r>
          </w:p>
        </w:tc>
        <w:tc>
          <w:tcPr>
            <w:tcW w:w="85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比例</w:t>
            </w:r>
          </w:p>
        </w:tc>
        <w:tc>
          <w:tcPr>
            <w:tcW w:w="748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方法</w:t>
            </w:r>
          </w:p>
        </w:tc>
      </w:tr>
      <w:tr>
        <w:tblPrEx>
          <w:tblLayout w:type="fixed"/>
          <w:tblCellMar>
            <w:top w:w="0" w:type="dxa"/>
            <w:left w:w="0" w:type="dxa"/>
            <w:bottom w:w="0" w:type="dxa"/>
            <w:right w:w="0" w:type="dxa"/>
          </w:tblCellMar>
        </w:tblPrEx>
        <w:trPr>
          <w:trHeight w:val="567" w:hRule="atLeast"/>
        </w:trPr>
        <w:tc>
          <w:tcPr>
            <w:tcW w:w="153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节能、环境标志产品</w:t>
            </w:r>
          </w:p>
        </w:tc>
        <w:tc>
          <w:tcPr>
            <w:tcW w:w="85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10.00%</w:t>
            </w:r>
          </w:p>
        </w:tc>
        <w:tc>
          <w:tcPr>
            <w:tcW w:w="748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jc w:val="left"/>
              <w:rPr>
                <w:rFonts w:ascii="宋体" w:hAnsi="宋体" w:eastAsia="宋体" w:cs="宋体"/>
                <w:kern w:val="0"/>
                <w:sz w:val="24"/>
                <w:szCs w:val="24"/>
              </w:rPr>
            </w:pPr>
            <w:r>
              <w:rPr>
                <w:rFonts w:ascii="宋体" w:hAnsi="宋体" w:eastAsia="宋体" w:cs="宋体"/>
                <w:kern w:val="0"/>
                <w:sz w:val="24"/>
                <w:szCs w:val="24"/>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其他：无</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※除本章第6.3条第（3）款规定情形和落实政府采购政策需进行的价格扣除情形外，不能对投标人的投标报价进行任何调整。</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（3）中标候选人排列规则顺序如下：</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a.按照评标价（即价格扣除后的投标报价）由低到高顺序排列。</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b.评标价相同的并列。</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8、其他规定</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8.1评标应全程保密且不得透露给任一投标人或与评标工作无关的人员。</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8.2评标将进行全程实时录音录像，录音录像资料随采购文件一并存档。</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8.3若投标人有任何试图干扰具体评标事务，影响评标委员会独立履行职责的行为，其投标无效且不予退还投标保证金或通过投标保函进行索赔。情节严重的，由财政部门列入不良行为记录。</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8.4其他：</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无</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1"/>
        <w:rPr>
          <w:rFonts w:ascii="宋体" w:hAnsi="宋体" w:eastAsia="宋体" w:cs="Noto Sans"/>
          <w:b/>
          <w:kern w:val="0"/>
          <w:sz w:val="24"/>
          <w:szCs w:val="39"/>
        </w:rPr>
      </w:pPr>
      <w:r>
        <w:rPr>
          <w:rFonts w:ascii="宋体" w:hAnsi="宋体" w:eastAsia="宋体" w:cs="Noto Sans"/>
          <w:kern w:val="0"/>
          <w:sz w:val="36"/>
          <w:szCs w:val="39"/>
        </w:rPr>
        <w:br w:type="page"/>
      </w:r>
      <w:r>
        <w:rPr>
          <w:rFonts w:ascii="宋体" w:hAnsi="宋体" w:eastAsia="宋体" w:cs="Noto Sans"/>
          <w:b/>
          <w:kern w:val="0"/>
          <w:sz w:val="36"/>
          <w:szCs w:val="39"/>
        </w:rPr>
        <w:t>第五章 招标内容及要求</w:t>
      </w:r>
    </w:p>
    <w:p>
      <w:pPr>
        <w:widowControl/>
        <w:shd w:val="clear" w:color="auto" w:fill="FFFFFF"/>
        <w:spacing w:line="480" w:lineRule="auto"/>
        <w:ind w:firstLine="482" w:firstLineChars="200"/>
        <w:jc w:val="left"/>
        <w:outlineLvl w:val="2"/>
        <w:rPr>
          <w:rFonts w:ascii="宋体" w:hAnsi="宋体" w:eastAsia="宋体" w:cs="Noto Sans"/>
          <w:b/>
          <w:kern w:val="0"/>
          <w:sz w:val="24"/>
          <w:szCs w:val="27"/>
        </w:rPr>
      </w:pPr>
      <w:r>
        <w:rPr>
          <w:rFonts w:ascii="宋体" w:hAnsi="宋体" w:eastAsia="宋体" w:cs="Noto Sans"/>
          <w:b/>
          <w:kern w:val="0"/>
          <w:sz w:val="24"/>
          <w:szCs w:val="27"/>
        </w:rPr>
        <w:t>一、项目概况（采购标的）</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本项目为2026年福州市产品质量检验所工业产品检验检测设备更新项目-项目4。</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本项目核心产品为◆家用燃气灶具综合性能测试系统。</w:t>
      </w:r>
    </w:p>
    <w:p>
      <w:pPr>
        <w:widowControl/>
        <w:shd w:val="clear" w:color="auto" w:fill="FFFFFF"/>
        <w:spacing w:line="480" w:lineRule="auto"/>
        <w:ind w:firstLine="482" w:firstLineChars="200"/>
        <w:jc w:val="left"/>
        <w:outlineLvl w:val="2"/>
        <w:rPr>
          <w:rFonts w:ascii="宋体" w:hAnsi="宋体" w:eastAsia="宋体" w:cs="Noto Sans"/>
          <w:b/>
          <w:kern w:val="0"/>
          <w:sz w:val="24"/>
          <w:szCs w:val="27"/>
        </w:rPr>
      </w:pPr>
      <w:r>
        <w:rPr>
          <w:rFonts w:ascii="宋体" w:hAnsi="宋体" w:eastAsia="宋体" w:cs="Noto Sans"/>
          <w:b/>
          <w:kern w:val="0"/>
          <w:sz w:val="24"/>
          <w:szCs w:val="27"/>
        </w:rPr>
        <w:t>二、技术和服务要求（以“</w:t>
      </w:r>
      <w:r>
        <w:rPr>
          <w:rFonts w:hint="eastAsia" w:ascii="宋体" w:hAnsi="宋体" w:eastAsia="宋体" w:cs="Noto Sans"/>
          <w:b/>
          <w:kern w:val="0"/>
          <w:sz w:val="24"/>
          <w:szCs w:val="27"/>
        </w:rPr>
        <w:t>★</w:t>
      </w:r>
      <w:r>
        <w:rPr>
          <w:rFonts w:ascii="宋体" w:hAnsi="宋体" w:eastAsia="宋体" w:cs="Noto Sans"/>
          <w:b/>
          <w:kern w:val="0"/>
          <w:sz w:val="24"/>
          <w:szCs w:val="27"/>
        </w:rPr>
        <w:t>”标示的内容为不允许负偏离的实质性要求）</w:t>
      </w:r>
    </w:p>
    <w:p>
      <w:pPr>
        <w:pStyle w:val="10"/>
        <w:shd w:val="clear" w:color="auto" w:fill="FFFFFF"/>
        <w:spacing w:before="0" w:beforeAutospacing="0" w:after="0" w:afterAutospacing="0" w:line="276" w:lineRule="auto"/>
        <w:jc w:val="center"/>
        <w:rPr>
          <w:rFonts w:cs="Noto Sans"/>
          <w:b/>
        </w:rPr>
      </w:pPr>
      <w:r>
        <w:rPr>
          <w:rStyle w:val="12"/>
          <w:rFonts w:hint="eastAsia" w:cs="Calibri"/>
          <w:bCs w:val="0"/>
        </w:rPr>
        <w:t>（一）烟气分析仪</w:t>
      </w:r>
    </w:p>
    <w:p>
      <w:pPr>
        <w:pStyle w:val="6"/>
        <w:shd w:val="clear" w:color="auto" w:fill="FFFFFF"/>
        <w:spacing w:before="0" w:beforeAutospacing="0" w:after="0" w:afterAutospacing="0" w:line="276" w:lineRule="auto"/>
        <w:rPr>
          <w:rFonts w:cs="Noto Sans"/>
        </w:rPr>
      </w:pPr>
      <w:r>
        <w:rPr>
          <w:rFonts w:hint="eastAsia" w:cs="Times New Roman"/>
        </w:rPr>
        <w:t>主要用途：该设备主要用于燃气燃烧器具干烟气成分的检测，适用标准</w:t>
      </w:r>
      <w:r>
        <w:rPr>
          <w:rFonts w:hint="eastAsia" w:cs="Times New Roman"/>
          <w:shd w:val="clear" w:color="auto" w:fill="FFFFFF"/>
        </w:rPr>
        <w:t>GB16410-2020《家用燃气灶具》、GB35848-2024《商用燃气燃烧器具》、GB25034-2020《燃气采暖热水炉》、GB6932-2015《家用燃气快速热水器》等相关燃气具标准要求。</w:t>
      </w:r>
    </w:p>
    <w:p>
      <w:pPr>
        <w:pStyle w:val="6"/>
        <w:shd w:val="clear" w:color="auto" w:fill="FFFFFF"/>
        <w:spacing w:before="0" w:beforeAutospacing="0" w:after="0" w:afterAutospacing="0" w:line="276" w:lineRule="auto"/>
        <w:rPr>
          <w:rFonts w:cs="Noto Sans"/>
          <w:b/>
        </w:rPr>
      </w:pPr>
      <w:r>
        <w:rPr>
          <w:rFonts w:hint="eastAsia" w:cs="Times New Roman"/>
          <w:b/>
        </w:rPr>
        <w:t>1、主要技术参数</w:t>
      </w:r>
    </w:p>
    <w:p>
      <w:pPr>
        <w:pStyle w:val="6"/>
        <w:shd w:val="clear" w:color="auto" w:fill="FFFFFF"/>
        <w:spacing w:before="0" w:beforeAutospacing="0" w:after="0" w:afterAutospacing="0" w:line="276" w:lineRule="auto"/>
        <w:rPr>
          <w:rFonts w:cs="Noto Sans"/>
        </w:rPr>
      </w:pPr>
      <w:r>
        <w:rPr>
          <w:rFonts w:hint="eastAsia" w:cs="Times New Roman"/>
        </w:rPr>
        <w:t>1.1 C0通道:采用NDIR红外法原理，量程0%～0.2%，精度±1%，最小分辨力0.0001%。</w:t>
      </w:r>
    </w:p>
    <w:p>
      <w:pPr>
        <w:pStyle w:val="6"/>
        <w:shd w:val="clear" w:color="auto" w:fill="FFFFFF"/>
        <w:spacing w:before="0" w:beforeAutospacing="0" w:after="0" w:afterAutospacing="0" w:line="276" w:lineRule="auto"/>
        <w:rPr>
          <w:rFonts w:cs="Noto Sans"/>
        </w:rPr>
      </w:pPr>
      <w:r>
        <w:rPr>
          <w:rFonts w:hint="eastAsia" w:cs="Times New Roman"/>
        </w:rPr>
        <w:t>1.2 CO</w:t>
      </w:r>
      <w:r>
        <w:rPr>
          <w:rFonts w:hint="eastAsia" w:cs="Times New Roman"/>
          <w:vertAlign w:val="subscript"/>
        </w:rPr>
        <w:t>2</w:t>
      </w:r>
      <w:r>
        <w:rPr>
          <w:rFonts w:hint="eastAsia" w:cs="Times New Roman"/>
        </w:rPr>
        <w:t>通道:采用NDIR红外法原理，量程：0%～25%，精度：±1%，最小分辨力：0.01%。</w:t>
      </w:r>
    </w:p>
    <w:p>
      <w:pPr>
        <w:pStyle w:val="6"/>
        <w:shd w:val="clear" w:color="auto" w:fill="FFFFFF"/>
        <w:spacing w:before="0" w:beforeAutospacing="0" w:after="0" w:afterAutospacing="0" w:line="276" w:lineRule="auto"/>
        <w:rPr>
          <w:rFonts w:cs="Noto Sans"/>
        </w:rPr>
      </w:pPr>
      <w:r>
        <w:rPr>
          <w:rFonts w:hint="eastAsia" w:cs="Times New Roman"/>
        </w:rPr>
        <w:t>1.3 O</w:t>
      </w:r>
      <w:r>
        <w:rPr>
          <w:rFonts w:hint="eastAsia" w:cs="Times New Roman"/>
          <w:vertAlign w:val="subscript"/>
        </w:rPr>
        <w:t>2</w:t>
      </w:r>
      <w:r>
        <w:rPr>
          <w:rFonts w:hint="eastAsia" w:cs="Times New Roman"/>
        </w:rPr>
        <w:t>通道：采用顺磁法、红外或电化学原理，量程：0%～25%，精度：±1%，最小分辨力：0.01%。</w:t>
      </w:r>
    </w:p>
    <w:p>
      <w:pPr>
        <w:pStyle w:val="10"/>
        <w:shd w:val="clear" w:color="auto" w:fill="FFFFFF"/>
        <w:spacing w:before="0" w:beforeAutospacing="0" w:after="0" w:afterAutospacing="0" w:line="276" w:lineRule="auto"/>
        <w:rPr>
          <w:rFonts w:cs="Noto Sans"/>
          <w:b/>
        </w:rPr>
      </w:pPr>
      <w:r>
        <w:rPr>
          <w:rFonts w:hint="eastAsia" w:cs="Calibri"/>
          <w:b/>
        </w:rPr>
        <w:t>2、其他要求</w:t>
      </w:r>
    </w:p>
    <w:p>
      <w:pPr>
        <w:pStyle w:val="6"/>
        <w:shd w:val="clear" w:color="auto" w:fill="FFFFFF"/>
        <w:spacing w:before="0" w:beforeAutospacing="0" w:after="0" w:afterAutospacing="0" w:line="276" w:lineRule="auto"/>
        <w:rPr>
          <w:rFonts w:cs="Noto Sans"/>
        </w:rPr>
      </w:pPr>
      <w:r>
        <w:rPr>
          <w:rFonts w:hint="eastAsia" w:cs="Times New Roman"/>
        </w:rPr>
        <w:t>2.1配备电控柜，带移动轮，整机可移动。</w:t>
      </w:r>
    </w:p>
    <w:p>
      <w:pPr>
        <w:pStyle w:val="6"/>
        <w:shd w:val="clear" w:color="auto" w:fill="FFFFFF"/>
        <w:spacing w:before="0" w:beforeAutospacing="0" w:after="0" w:afterAutospacing="0" w:line="276" w:lineRule="auto"/>
        <w:rPr>
          <w:rFonts w:cs="Noto Sans"/>
        </w:rPr>
      </w:pPr>
      <w:r>
        <w:rPr>
          <w:rFonts w:hint="eastAsia" w:cs="Times New Roman"/>
        </w:rPr>
        <w:t>2.2配备初级过滤器、精密过滤器各1套，蠕动泵2台，采样泵1台，标气1瓶及配套减压阀1套。</w:t>
      </w:r>
    </w:p>
    <w:p>
      <w:pPr>
        <w:pStyle w:val="6"/>
        <w:shd w:val="clear" w:color="auto" w:fill="FFFFFF"/>
        <w:spacing w:before="0" w:beforeAutospacing="0" w:after="0" w:afterAutospacing="0" w:line="276" w:lineRule="auto"/>
        <w:rPr>
          <w:rFonts w:cs="Noto Sans"/>
        </w:rPr>
      </w:pPr>
      <w:r>
        <w:rPr>
          <w:rFonts w:hint="eastAsia" w:cs="Times New Roman"/>
        </w:rPr>
        <w:t>2.3配备10米以内PTFE伴热采样管线。</w:t>
      </w:r>
    </w:p>
    <w:p>
      <w:pPr>
        <w:pStyle w:val="6"/>
        <w:shd w:val="clear" w:color="auto" w:fill="FFFFFF"/>
        <w:spacing w:before="0" w:beforeAutospacing="0" w:after="0" w:afterAutospacing="0" w:line="276" w:lineRule="auto"/>
        <w:rPr>
          <w:rFonts w:cs="Noto Sans"/>
        </w:rPr>
      </w:pPr>
      <w:r>
        <w:rPr>
          <w:rFonts w:hint="eastAsia" w:cs="Times New Roman"/>
        </w:rPr>
        <w:t>2.4配套滤芯和精密滤芯各10个，聚四氟乙烯管。</w:t>
      </w:r>
    </w:p>
    <w:p>
      <w:pPr>
        <w:pStyle w:val="6"/>
        <w:shd w:val="clear" w:color="auto" w:fill="FFFFFF"/>
        <w:spacing w:before="0" w:beforeAutospacing="0" w:after="0" w:afterAutospacing="0" w:line="276" w:lineRule="auto"/>
        <w:rPr>
          <w:rFonts w:cs="Noto Sans"/>
        </w:rPr>
      </w:pPr>
      <w:r>
        <w:rPr>
          <w:rFonts w:hint="eastAsia" w:cs="Times New Roman"/>
        </w:rPr>
        <w:t>2.5所有检测数据可在计算机端显示、存储。</w:t>
      </w:r>
    </w:p>
    <w:p>
      <w:pPr>
        <w:pStyle w:val="6"/>
        <w:shd w:val="clear" w:color="auto" w:fill="FFFFFF"/>
        <w:spacing w:before="0" w:beforeAutospacing="0" w:after="0" w:afterAutospacing="0" w:line="276" w:lineRule="auto"/>
        <w:rPr>
          <w:rFonts w:cs="Noto Sans"/>
        </w:rPr>
      </w:pPr>
      <w:r>
        <w:rPr>
          <w:rFonts w:hint="eastAsia" w:cs="Times New Roman"/>
        </w:rPr>
        <w:t>2.6配套正版授权软件，自动采集显示数据，按国标方法计算。</w:t>
      </w:r>
    </w:p>
    <w:p>
      <w:pPr>
        <w:pStyle w:val="6"/>
        <w:shd w:val="clear" w:color="auto" w:fill="FFFFFF"/>
        <w:spacing w:before="0" w:beforeAutospacing="0" w:after="0" w:afterAutospacing="0" w:line="276" w:lineRule="auto"/>
        <w:rPr>
          <w:rFonts w:cs="Noto Sans"/>
        </w:rPr>
      </w:pPr>
      <w:r>
        <w:rPr>
          <w:rFonts w:hint="eastAsia" w:cs="Times New Roman"/>
        </w:rPr>
        <w:t>2.7 15寸显示工控一体机，配置要求：处理器：多核处理器，整机性能不低于七代酷睿 I5 同等性能水平，基础主频≥2.5GHz，支持多任务并发运行，内存：≥16GB，硬盘：≥256GB，整机要求：全新正品，适配主流操作系统，兼容检测仪器控制软件，接口满足实验室外设接入，整机集成在电控柜内。</w:t>
      </w:r>
    </w:p>
    <w:p>
      <w:pPr>
        <w:pStyle w:val="6"/>
        <w:shd w:val="clear" w:color="auto" w:fill="FFFFFF"/>
        <w:spacing w:before="0" w:beforeAutospacing="0" w:after="0" w:afterAutospacing="0" w:line="276" w:lineRule="auto"/>
        <w:rPr>
          <w:rFonts w:cs="Noto Sans"/>
        </w:rPr>
      </w:pPr>
      <w:r>
        <w:rPr>
          <w:rFonts w:hint="eastAsia" w:cs="Times New Roman"/>
        </w:rPr>
        <w:t>2.8检测结果需要根据不同的标准(GB16410，GB/T16411，GB25034，GB6932，GB35848，GB30720，GB20665)要求进行换算。</w:t>
      </w:r>
    </w:p>
    <w:p>
      <w:pPr>
        <w:pStyle w:val="10"/>
        <w:shd w:val="clear" w:color="auto" w:fill="FFFFFF"/>
        <w:spacing w:before="0" w:beforeAutospacing="0" w:after="0" w:afterAutospacing="0" w:line="276" w:lineRule="auto"/>
        <w:jc w:val="center"/>
        <w:rPr>
          <w:rFonts w:cs="Noto Sans"/>
        </w:rPr>
      </w:pPr>
      <w:r>
        <w:rPr>
          <w:rStyle w:val="12"/>
          <w:rFonts w:hint="eastAsia" w:cs="Calibri"/>
          <w:bCs w:val="0"/>
        </w:rPr>
        <w:t>（二）温湿度试验箱</w:t>
      </w:r>
    </w:p>
    <w:p>
      <w:pPr>
        <w:pStyle w:val="6"/>
        <w:shd w:val="clear" w:color="auto" w:fill="FFFFFF"/>
        <w:spacing w:before="0" w:beforeAutospacing="0" w:after="0" w:afterAutospacing="0" w:line="276" w:lineRule="auto"/>
        <w:rPr>
          <w:rFonts w:cs="Noto Sans"/>
        </w:rPr>
      </w:pPr>
      <w:r>
        <w:rPr>
          <w:rFonts w:hint="eastAsia" w:cs="Times New Roman"/>
        </w:rPr>
        <w:t>主要用途：该设备用于瓶装液化石油气调压器产品调压静特性试验的检测，适用标准GB35844-2018《瓶装液化石油气调压器》</w:t>
      </w:r>
      <w:r>
        <w:rPr>
          <w:rFonts w:hint="eastAsia" w:cs="Times New Roman"/>
          <w:shd w:val="clear" w:color="auto" w:fill="FFFFFF"/>
        </w:rPr>
        <w:t>。</w:t>
      </w:r>
    </w:p>
    <w:p>
      <w:pPr>
        <w:pStyle w:val="6"/>
        <w:shd w:val="clear" w:color="auto" w:fill="FFFFFF"/>
        <w:spacing w:before="0" w:beforeAutospacing="0" w:after="0" w:afterAutospacing="0" w:line="276" w:lineRule="auto"/>
        <w:rPr>
          <w:rFonts w:cs="Noto Sans"/>
          <w:b/>
        </w:rPr>
      </w:pPr>
      <w:r>
        <w:rPr>
          <w:rFonts w:hint="eastAsia" w:cs="Times New Roman"/>
          <w:b/>
        </w:rPr>
        <w:t>1、主要技术参数</w:t>
      </w:r>
    </w:p>
    <w:p>
      <w:pPr>
        <w:pStyle w:val="6"/>
        <w:shd w:val="clear" w:color="auto" w:fill="FFFFFF"/>
        <w:spacing w:before="0" w:beforeAutospacing="0" w:after="0" w:afterAutospacing="0" w:line="276" w:lineRule="auto"/>
        <w:rPr>
          <w:rFonts w:cs="Noto Sans"/>
        </w:rPr>
      </w:pPr>
      <w:r>
        <w:rPr>
          <w:rFonts w:hint="eastAsia" w:cs="Times New Roman"/>
        </w:rPr>
        <w:t>1.1温度范围：-30℃～+70℃。</w:t>
      </w:r>
    </w:p>
    <w:p>
      <w:pPr>
        <w:pStyle w:val="6"/>
        <w:shd w:val="clear" w:color="auto" w:fill="FFFFFF"/>
        <w:spacing w:before="0" w:beforeAutospacing="0" w:after="0" w:afterAutospacing="0" w:line="276" w:lineRule="auto"/>
        <w:rPr>
          <w:rFonts w:cs="Noto Sans"/>
        </w:rPr>
      </w:pPr>
      <w:r>
        <w:rPr>
          <w:rFonts w:hint="eastAsia" w:cs="Times New Roman"/>
        </w:rPr>
        <w:t>1.2湿度范围：20%～98%RH，湿度稳定度：±2.0%RH。</w:t>
      </w:r>
    </w:p>
    <w:p>
      <w:pPr>
        <w:pStyle w:val="6"/>
        <w:shd w:val="clear" w:color="auto" w:fill="FFFFFF"/>
        <w:spacing w:before="0" w:beforeAutospacing="0" w:after="0" w:afterAutospacing="0" w:line="276" w:lineRule="auto"/>
        <w:rPr>
          <w:rFonts w:cs="Noto Sans"/>
        </w:rPr>
      </w:pPr>
      <w:r>
        <w:rPr>
          <w:rFonts w:hint="eastAsia" w:cs="Times New Roman"/>
        </w:rPr>
        <w:t>1.3温度波动：±0.5℃。</w:t>
      </w:r>
    </w:p>
    <w:p>
      <w:pPr>
        <w:pStyle w:val="6"/>
        <w:shd w:val="clear" w:color="auto" w:fill="FFFFFF"/>
        <w:spacing w:before="0" w:beforeAutospacing="0" w:after="0" w:afterAutospacing="0" w:line="276" w:lineRule="auto"/>
        <w:rPr>
          <w:rFonts w:cs="Noto Sans"/>
        </w:rPr>
      </w:pPr>
      <w:r>
        <w:rPr>
          <w:rFonts w:hint="eastAsia" w:cs="Times New Roman"/>
        </w:rPr>
        <w:t>1.4温度偏差：±2.0℃.</w:t>
      </w:r>
    </w:p>
    <w:p>
      <w:pPr>
        <w:pStyle w:val="6"/>
        <w:shd w:val="clear" w:color="auto" w:fill="FFFFFF"/>
        <w:spacing w:before="0" w:beforeAutospacing="0" w:after="0" w:afterAutospacing="0" w:line="276" w:lineRule="auto"/>
        <w:rPr>
          <w:rFonts w:cs="Noto Sans"/>
        </w:rPr>
      </w:pPr>
      <w:r>
        <w:rPr>
          <w:rFonts w:hint="eastAsia" w:cs="Times New Roman"/>
        </w:rPr>
        <w:t>1.5空载情况下平均降温速率：≥0.7℃/min。</w:t>
      </w:r>
    </w:p>
    <w:p>
      <w:pPr>
        <w:pStyle w:val="10"/>
        <w:shd w:val="clear" w:color="auto" w:fill="FFFFFF"/>
        <w:spacing w:before="0" w:beforeAutospacing="0" w:after="0" w:afterAutospacing="0" w:line="276" w:lineRule="auto"/>
        <w:rPr>
          <w:rFonts w:cs="Noto Sans"/>
          <w:b/>
        </w:rPr>
      </w:pPr>
      <w:r>
        <w:rPr>
          <w:rFonts w:hint="eastAsia" w:cs="Calibri"/>
          <w:b/>
        </w:rPr>
        <w:t>2、其他要求</w:t>
      </w:r>
    </w:p>
    <w:p>
      <w:pPr>
        <w:pStyle w:val="10"/>
        <w:shd w:val="clear" w:color="auto" w:fill="FFFFFF"/>
        <w:spacing w:before="0" w:beforeAutospacing="0" w:after="0" w:afterAutospacing="0" w:line="276" w:lineRule="auto"/>
        <w:rPr>
          <w:rFonts w:cs="Noto Sans"/>
        </w:rPr>
      </w:pPr>
      <w:r>
        <w:rPr>
          <w:rFonts w:hint="eastAsia" w:cs="Calibri"/>
        </w:rPr>
        <w:t>2.1配套10m铜盘管。</w:t>
      </w:r>
    </w:p>
    <w:p>
      <w:pPr>
        <w:pStyle w:val="10"/>
        <w:shd w:val="clear" w:color="auto" w:fill="FFFFFF"/>
        <w:spacing w:before="0" w:beforeAutospacing="0" w:after="0" w:afterAutospacing="0" w:line="276" w:lineRule="auto"/>
        <w:rPr>
          <w:rFonts w:cs="Noto Sans"/>
        </w:rPr>
      </w:pPr>
      <w:r>
        <w:rPr>
          <w:rFonts w:hint="eastAsia" w:cs="Calibri"/>
        </w:rPr>
        <w:t>2.2外壁开2个φ50mm孔，用于布管。</w:t>
      </w:r>
    </w:p>
    <w:p>
      <w:pPr>
        <w:pStyle w:val="10"/>
        <w:shd w:val="clear" w:color="auto" w:fill="FFFFFF"/>
        <w:spacing w:before="0" w:beforeAutospacing="0" w:after="0" w:afterAutospacing="0" w:line="276" w:lineRule="auto"/>
        <w:rPr>
          <w:rFonts w:cs="Noto Sans"/>
        </w:rPr>
      </w:pPr>
      <w:r>
        <w:rPr>
          <w:rFonts w:hint="eastAsia" w:cs="Calibri"/>
        </w:rPr>
        <w:t>2.3配套测量范围0～18kPa、0～60kPa、0～100kPa、0～5MPa，精度0.4级数字压力表各一个。</w:t>
      </w:r>
    </w:p>
    <w:p>
      <w:pPr>
        <w:pStyle w:val="10"/>
        <w:shd w:val="clear" w:color="auto" w:fill="FFFFFF"/>
        <w:spacing w:before="0" w:beforeAutospacing="0" w:after="0" w:afterAutospacing="0" w:line="276" w:lineRule="auto"/>
        <w:rPr>
          <w:rFonts w:cs="Noto Sans"/>
        </w:rPr>
      </w:pPr>
      <w:r>
        <w:rPr>
          <w:rFonts w:hint="eastAsia" w:cs="Calibri"/>
        </w:rPr>
        <w:t>2.4配套测量范围：0～10L/min、0～100L/min，精度：±1.5%电子流量计各一个。</w:t>
      </w:r>
    </w:p>
    <w:p>
      <w:pPr>
        <w:pStyle w:val="10"/>
        <w:shd w:val="clear" w:color="auto" w:fill="FFFFFF"/>
        <w:spacing w:before="0" w:beforeAutospacing="0" w:after="0" w:afterAutospacing="0" w:line="276" w:lineRule="auto"/>
        <w:rPr>
          <w:rFonts w:cs="Noto Sans"/>
        </w:rPr>
      </w:pPr>
      <w:r>
        <w:rPr>
          <w:rFonts w:hint="eastAsia" w:cs="Calibri"/>
        </w:rPr>
        <w:t>2.5温湿度试验箱配套测量集成操作面板，可调节压力、流量。</w:t>
      </w:r>
    </w:p>
    <w:p>
      <w:pPr>
        <w:pStyle w:val="10"/>
        <w:shd w:val="clear" w:color="auto" w:fill="FFFFFF"/>
        <w:spacing w:before="0" w:beforeAutospacing="0" w:after="0" w:afterAutospacing="0" w:line="276" w:lineRule="auto"/>
        <w:rPr>
          <w:rFonts w:cs="Noto Sans"/>
        </w:rPr>
      </w:pPr>
      <w:r>
        <w:rPr>
          <w:rFonts w:hint="eastAsia" w:cs="Calibri"/>
        </w:rPr>
        <w:t>2.6工装及温湿度试验箱附属设施满足GB35844-2018《瓶装液化石油气调压器》标准图4要求。</w:t>
      </w:r>
    </w:p>
    <w:p>
      <w:pPr>
        <w:pStyle w:val="10"/>
        <w:shd w:val="clear" w:color="auto" w:fill="FFFFFF"/>
        <w:spacing w:before="0" w:beforeAutospacing="0" w:after="0" w:afterAutospacing="0" w:line="276" w:lineRule="auto"/>
        <w:jc w:val="center"/>
        <w:rPr>
          <w:rFonts w:cs="Noto Sans"/>
        </w:rPr>
      </w:pPr>
      <w:r>
        <w:rPr>
          <w:rStyle w:val="12"/>
          <w:rFonts w:hint="eastAsia" w:cs="Calibri"/>
          <w:bCs w:val="0"/>
        </w:rPr>
        <w:t>（三）电动振动台</w:t>
      </w:r>
    </w:p>
    <w:p>
      <w:pPr>
        <w:pStyle w:val="6"/>
        <w:shd w:val="clear" w:color="auto" w:fill="FFFFFF"/>
        <w:spacing w:before="0" w:beforeAutospacing="0" w:after="0" w:afterAutospacing="0" w:line="276" w:lineRule="auto"/>
        <w:rPr>
          <w:rFonts w:cs="Noto Sans"/>
        </w:rPr>
      </w:pPr>
      <w:r>
        <w:rPr>
          <w:rFonts w:hint="eastAsia" w:cs="Times New Roman"/>
        </w:rPr>
        <w:t>主要用途：该设备用于燃气燃烧器具及其相关产品振动试验的检测，适用标准GB16410-2020《家用燃气灶具》、GB6932-2015《家用燃气快速热水器》、GB15322.1-2026《可燃气体探测器第1部分:工业及商业用途点型可燃气体探测器》，GB15322.2-2026《可燃气体探测器第2部分:家用可燃气体探测器》</w:t>
      </w:r>
      <w:r>
        <w:rPr>
          <w:rFonts w:hint="eastAsia" w:cs="Times New Roman"/>
          <w:shd w:val="clear" w:color="auto" w:fill="FFFFFF"/>
        </w:rPr>
        <w:t>。</w:t>
      </w:r>
    </w:p>
    <w:p>
      <w:pPr>
        <w:pStyle w:val="6"/>
        <w:shd w:val="clear" w:color="auto" w:fill="FFFFFF"/>
        <w:spacing w:before="0" w:beforeAutospacing="0" w:after="0" w:afterAutospacing="0" w:line="276" w:lineRule="auto"/>
        <w:rPr>
          <w:rFonts w:cs="Noto Sans"/>
          <w:b/>
        </w:rPr>
      </w:pPr>
      <w:r>
        <w:rPr>
          <w:rFonts w:hint="eastAsia" w:cs="Times New Roman"/>
          <w:b/>
        </w:rPr>
        <w:t>1、主要技术参数</w:t>
      </w:r>
    </w:p>
    <w:p>
      <w:pPr>
        <w:pStyle w:val="10"/>
        <w:shd w:val="clear" w:color="auto" w:fill="FFFFFF"/>
        <w:spacing w:before="0" w:beforeAutospacing="0" w:after="0" w:afterAutospacing="0" w:line="276" w:lineRule="auto"/>
        <w:rPr>
          <w:rFonts w:cs="Noto Sans"/>
        </w:rPr>
      </w:pPr>
      <w:r>
        <w:rPr>
          <w:rFonts w:hint="eastAsia" w:cs="Calibri"/>
        </w:rPr>
        <w:t>1.1频率：5～200Hz，可以任意设定。</w:t>
      </w:r>
    </w:p>
    <w:p>
      <w:pPr>
        <w:pStyle w:val="10"/>
        <w:shd w:val="clear" w:color="auto" w:fill="FFFFFF"/>
        <w:spacing w:before="0" w:beforeAutospacing="0" w:after="0" w:afterAutospacing="0" w:line="276" w:lineRule="auto"/>
        <w:rPr>
          <w:rFonts w:cs="Noto Sans"/>
        </w:rPr>
      </w:pPr>
      <w:r>
        <w:rPr>
          <w:rFonts w:hint="eastAsia" w:cs="Calibri"/>
        </w:rPr>
        <w:t>1.2振幅：0～5mm。</w:t>
      </w:r>
    </w:p>
    <w:p>
      <w:pPr>
        <w:pStyle w:val="10"/>
        <w:shd w:val="clear" w:color="auto" w:fill="FFFFFF"/>
        <w:spacing w:before="0" w:beforeAutospacing="0" w:after="0" w:afterAutospacing="0" w:line="276" w:lineRule="auto"/>
        <w:rPr>
          <w:rFonts w:cs="Noto Sans"/>
        </w:rPr>
      </w:pPr>
      <w:r>
        <w:rPr>
          <w:rFonts w:hint="eastAsia" w:cs="Calibri"/>
        </w:rPr>
        <w:t>1.3振动波形：正弦波（半波/全波）。</w:t>
      </w:r>
    </w:p>
    <w:p>
      <w:pPr>
        <w:pStyle w:val="10"/>
        <w:shd w:val="clear" w:color="auto" w:fill="FFFFFF"/>
        <w:spacing w:before="0" w:beforeAutospacing="0" w:after="0" w:afterAutospacing="0" w:line="276" w:lineRule="auto"/>
        <w:rPr>
          <w:rFonts w:cs="Noto Sans"/>
        </w:rPr>
      </w:pPr>
      <w:r>
        <w:rPr>
          <w:rFonts w:hint="eastAsia" w:cs="Calibri"/>
        </w:rPr>
        <w:t>1.4扫频速率：1oct/min。</w:t>
      </w:r>
    </w:p>
    <w:p>
      <w:pPr>
        <w:pStyle w:val="10"/>
        <w:shd w:val="clear" w:color="auto" w:fill="FFFFFF"/>
        <w:spacing w:before="0" w:beforeAutospacing="0" w:after="0" w:afterAutospacing="0" w:line="276" w:lineRule="auto"/>
        <w:rPr>
          <w:rFonts w:cs="Noto Sans"/>
        </w:rPr>
      </w:pPr>
      <w:r>
        <w:rPr>
          <w:rFonts w:hint="eastAsia" w:cs="Calibri"/>
        </w:rPr>
        <w:t>1.5加速度：≥5G（空载）。</w:t>
      </w:r>
    </w:p>
    <w:p>
      <w:pPr>
        <w:pStyle w:val="10"/>
        <w:shd w:val="clear" w:color="auto" w:fill="FFFFFF"/>
        <w:spacing w:before="0" w:beforeAutospacing="0" w:after="0" w:afterAutospacing="0" w:line="276" w:lineRule="auto"/>
        <w:rPr>
          <w:rFonts w:cs="Noto Sans"/>
        </w:rPr>
      </w:pPr>
      <w:r>
        <w:rPr>
          <w:rFonts w:hint="eastAsia" w:cs="Calibri"/>
        </w:rPr>
        <w:t>1.6最大负载：满足0～50kg。</w:t>
      </w:r>
    </w:p>
    <w:p>
      <w:pPr>
        <w:pStyle w:val="10"/>
        <w:shd w:val="clear" w:color="auto" w:fill="FFFFFF"/>
        <w:spacing w:before="0" w:beforeAutospacing="0" w:after="0" w:afterAutospacing="0" w:line="276" w:lineRule="auto"/>
        <w:rPr>
          <w:rFonts w:cs="Noto Sans"/>
        </w:rPr>
      </w:pPr>
      <w:r>
        <w:rPr>
          <w:rFonts w:hint="eastAsia" w:cs="Calibri"/>
        </w:rPr>
        <w:t>1.7时间控制：任何时间可设定，最小设置单位秒。</w:t>
      </w:r>
    </w:p>
    <w:p>
      <w:pPr>
        <w:pStyle w:val="10"/>
        <w:shd w:val="clear" w:color="auto" w:fill="FFFFFF"/>
        <w:spacing w:before="0" w:beforeAutospacing="0" w:after="0" w:afterAutospacing="0" w:line="276" w:lineRule="auto"/>
        <w:rPr>
          <w:rFonts w:cs="Noto Sans"/>
          <w:b/>
        </w:rPr>
      </w:pPr>
      <w:r>
        <w:rPr>
          <w:rFonts w:hint="eastAsia" w:cs="Calibri"/>
          <w:b/>
        </w:rPr>
        <w:t>2、其他要求</w:t>
      </w:r>
    </w:p>
    <w:p>
      <w:pPr>
        <w:pStyle w:val="10"/>
        <w:shd w:val="clear" w:color="auto" w:fill="FFFFFF"/>
        <w:spacing w:before="0" w:beforeAutospacing="0" w:after="0" w:afterAutospacing="0" w:line="276" w:lineRule="auto"/>
        <w:rPr>
          <w:rFonts w:cs="Noto Sans"/>
        </w:rPr>
      </w:pPr>
      <w:r>
        <w:rPr>
          <w:rFonts w:hint="eastAsia" w:cs="Calibri"/>
        </w:rPr>
        <w:t>2.1工作台：尺寸1000*1000mm，台面设置满足刚性安装条件，台面板采用镁铝合金材料制造，可隔离磁场干扰，防止磁化被测物。</w:t>
      </w:r>
    </w:p>
    <w:p>
      <w:pPr>
        <w:pStyle w:val="10"/>
        <w:shd w:val="clear" w:color="auto" w:fill="FFFFFF"/>
        <w:spacing w:before="0" w:beforeAutospacing="0" w:after="0" w:afterAutospacing="0" w:line="276" w:lineRule="auto"/>
        <w:rPr>
          <w:rFonts w:cs="Noto Sans"/>
        </w:rPr>
      </w:pPr>
      <w:r>
        <w:rPr>
          <w:rFonts w:hint="eastAsia" w:cs="Calibri"/>
        </w:rPr>
        <w:t>2.2振动方向：三轴一体机（上下+左右+前后）。</w:t>
      </w:r>
    </w:p>
    <w:p>
      <w:pPr>
        <w:pStyle w:val="10"/>
        <w:shd w:val="clear" w:color="auto" w:fill="FFFFFF"/>
        <w:spacing w:before="0" w:beforeAutospacing="0" w:after="0" w:afterAutospacing="0" w:line="276" w:lineRule="auto"/>
        <w:rPr>
          <w:rFonts w:cs="Noto Sans"/>
        </w:rPr>
      </w:pPr>
      <w:r>
        <w:rPr>
          <w:rFonts w:hint="eastAsia" w:cs="Calibri"/>
        </w:rPr>
        <w:t>2.3振动模式：单轴式振动</w:t>
      </w:r>
    </w:p>
    <w:p>
      <w:pPr>
        <w:pStyle w:val="10"/>
        <w:shd w:val="clear" w:color="auto" w:fill="FFFFFF"/>
        <w:spacing w:before="0" w:beforeAutospacing="0" w:after="0" w:afterAutospacing="0" w:line="276" w:lineRule="auto"/>
        <w:rPr>
          <w:rFonts w:cs="Noto Sans"/>
        </w:rPr>
      </w:pPr>
      <w:r>
        <w:rPr>
          <w:rFonts w:hint="eastAsia" w:cs="Calibri"/>
        </w:rPr>
        <w:t>2.4高精度频率输出，四点同步激振，台面振动均匀。</w:t>
      </w:r>
    </w:p>
    <w:p>
      <w:pPr>
        <w:pStyle w:val="10"/>
        <w:shd w:val="clear" w:color="auto" w:fill="FFFFFF"/>
        <w:spacing w:before="0" w:beforeAutospacing="0" w:after="0" w:afterAutospacing="0" w:line="276" w:lineRule="auto"/>
        <w:rPr>
          <w:rFonts w:cs="Noto Sans"/>
        </w:rPr>
      </w:pPr>
      <w:r>
        <w:rPr>
          <w:rFonts w:hint="eastAsia" w:cs="Calibri"/>
        </w:rPr>
        <w:t>2.5具有超温、缺相、短路、过流和过载保护功能。</w:t>
      </w:r>
    </w:p>
    <w:p>
      <w:pPr>
        <w:pStyle w:val="6"/>
        <w:shd w:val="clear" w:color="auto" w:fill="FFFFFF"/>
        <w:spacing w:before="0" w:beforeAutospacing="0" w:after="0" w:afterAutospacing="0" w:line="276" w:lineRule="auto"/>
        <w:jc w:val="center"/>
        <w:rPr>
          <w:rFonts w:cs="Noto Sans"/>
        </w:rPr>
      </w:pPr>
      <w:r>
        <w:rPr>
          <w:rStyle w:val="12"/>
          <w:rFonts w:hint="eastAsia" w:cs="Times New Roman"/>
          <w:bCs w:val="0"/>
        </w:rPr>
        <w:t>（四）商用燃气灶具综合性能测试系统</w:t>
      </w:r>
    </w:p>
    <w:p>
      <w:pPr>
        <w:pStyle w:val="6"/>
        <w:shd w:val="clear" w:color="auto" w:fill="FFFFFF"/>
        <w:spacing w:before="0" w:beforeAutospacing="0" w:after="0" w:afterAutospacing="0" w:line="276" w:lineRule="auto"/>
        <w:rPr>
          <w:rFonts w:cs="Noto Sans"/>
        </w:rPr>
      </w:pPr>
      <w:r>
        <w:rPr>
          <w:rFonts w:hint="eastAsia" w:cs="Times New Roman"/>
        </w:rPr>
        <w:t>主要用途：该设备是对商用燃气器具进行各项性能检验的试验装置。主要用于我所商用燃气燃烧器具（炒灶、大锅灶、平头炉、蒸箱等）的产品质量及性能检测，适用标准</w:t>
      </w:r>
      <w:r>
        <w:rPr>
          <w:rFonts w:hint="eastAsia" w:cs="Times New Roman"/>
          <w:shd w:val="clear" w:color="auto" w:fill="FFFFFF"/>
        </w:rPr>
        <w:t>GB35848-2024《商用燃气燃烧器具》、GB30720-2025《燃气灶具能效限定值及能效等级》、GB/T16411-2023《家用燃气燃烧器具的通用试验方法》等相关燃气具标准要求。</w:t>
      </w:r>
    </w:p>
    <w:p>
      <w:pPr>
        <w:pStyle w:val="6"/>
        <w:shd w:val="clear" w:color="auto" w:fill="FFFFFF"/>
        <w:spacing w:before="0" w:beforeAutospacing="0" w:after="0" w:afterAutospacing="0" w:line="276" w:lineRule="auto"/>
        <w:rPr>
          <w:rFonts w:cs="Noto Sans"/>
          <w:b/>
        </w:rPr>
      </w:pPr>
      <w:r>
        <w:rPr>
          <w:rFonts w:hint="eastAsia" w:cs="Times New Roman"/>
          <w:b/>
        </w:rPr>
        <w:t>1、基本性能要求</w:t>
      </w:r>
    </w:p>
    <w:p>
      <w:pPr>
        <w:pStyle w:val="6"/>
        <w:shd w:val="clear" w:color="auto" w:fill="FFFFFF"/>
        <w:spacing w:before="0" w:beforeAutospacing="0" w:after="0" w:afterAutospacing="0" w:line="276" w:lineRule="auto"/>
        <w:rPr>
          <w:rFonts w:cs="Noto Sans"/>
        </w:rPr>
      </w:pPr>
      <w:r>
        <w:rPr>
          <w:rFonts w:hint="eastAsia" w:cs="Times New Roman"/>
        </w:rPr>
        <w:t>1.1商用燃气灶具综合性能测试系统检测范围：设备检测性能满足检测GB35848-2024商用燃气燃烧器具标准要求。检测项目包括气密性，热负荷准确度试验，燃烧工况试验，熄火保护装置试验，火焰监控装置性能试验，点火率试验，自动燃烧器控制系统，点火器试验，燃气稳压器试验，稳压性能，表面温升试验，热效率性能试验，蒸汽压力试验，水烧沸时间试验。</w:t>
      </w:r>
    </w:p>
    <w:p>
      <w:pPr>
        <w:pStyle w:val="6"/>
        <w:shd w:val="clear" w:color="auto" w:fill="FFFFFF"/>
        <w:spacing w:before="0" w:beforeAutospacing="0" w:after="0" w:afterAutospacing="0" w:line="276" w:lineRule="auto"/>
        <w:rPr>
          <w:rFonts w:cs="Noto Sans"/>
        </w:rPr>
      </w:pPr>
      <w:r>
        <w:rPr>
          <w:rFonts w:hint="eastAsia" w:cs="Times New Roman"/>
        </w:rPr>
        <w:t>1.2商用燃气灶具综合性能测试系统应配备工作站和相关程序软件，能够实现对试验环境温湿度、水温、流量计内燃气温度、大气压力、流量计内燃气压力，燃气具前的燃气压力、燃气消耗量、燃气流量的实时监控，并在程序软件测试界面显示；应能显示热负荷测试耗气量、测试时间，能够计算实测热负荷、折算热负荷；至少满足实现蒸箱热效率、大锅灶热效率、平头炉类热效率和炒菜灶热效率的自动检测，应能显示热效率测试耗气量，计算热效率。</w:t>
      </w:r>
    </w:p>
    <w:p>
      <w:pPr>
        <w:pStyle w:val="10"/>
        <w:shd w:val="clear" w:color="auto" w:fill="FFFFFF"/>
        <w:spacing w:before="0" w:beforeAutospacing="0" w:after="0" w:afterAutospacing="0" w:line="276" w:lineRule="auto"/>
        <w:rPr>
          <w:rFonts w:cs="Noto Sans"/>
          <w:b/>
        </w:rPr>
      </w:pPr>
      <w:r>
        <w:rPr>
          <w:rFonts w:hint="eastAsia" w:cs="Calibri"/>
          <w:b/>
        </w:rPr>
        <w:t>2、主要技术参数</w:t>
      </w:r>
    </w:p>
    <w:p>
      <w:pPr>
        <w:pStyle w:val="6"/>
        <w:shd w:val="clear" w:color="auto" w:fill="FFFFFF"/>
        <w:spacing w:before="0" w:beforeAutospacing="0" w:after="0" w:afterAutospacing="0" w:line="276" w:lineRule="auto"/>
        <w:rPr>
          <w:rFonts w:cs="Noto Sans"/>
        </w:rPr>
      </w:pPr>
      <w:r>
        <w:rPr>
          <w:rFonts w:hint="eastAsia" w:cs="Times New Roman"/>
        </w:rPr>
        <w:t>2.1环境温度：配置3点式环境温度采集装置，布置于室内规定位置(器具左、右、前各1个，共3个)。传感器采用四线制PT100，温度范围0～100℃,精度等级A级，显示精度0.1℃。温度探头规格φ3*100mm，预留线长≥5m，可固定在支架上，高度可以调节。</w:t>
      </w:r>
    </w:p>
    <w:p>
      <w:pPr>
        <w:pStyle w:val="6"/>
        <w:shd w:val="clear" w:color="auto" w:fill="FFFFFF"/>
        <w:spacing w:before="0" w:beforeAutospacing="0" w:after="0" w:afterAutospacing="0" w:line="276" w:lineRule="auto"/>
        <w:rPr>
          <w:rFonts w:cs="Noto Sans"/>
        </w:rPr>
      </w:pPr>
      <w:r>
        <w:rPr>
          <w:rFonts w:hint="eastAsia" w:cs="Times New Roman"/>
        </w:rPr>
        <w:t>2.2燃气温度：工业铂热电阻，测量范围：0℃～50℃，精度A级；分辨率：0.1℃。</w:t>
      </w:r>
    </w:p>
    <w:p>
      <w:pPr>
        <w:pStyle w:val="6"/>
        <w:shd w:val="clear" w:color="auto" w:fill="FFFFFF"/>
        <w:spacing w:before="0" w:beforeAutospacing="0" w:after="0" w:afterAutospacing="0" w:line="276" w:lineRule="auto"/>
        <w:rPr>
          <w:rFonts w:cs="Noto Sans"/>
        </w:rPr>
      </w:pPr>
      <w:r>
        <w:rPr>
          <w:rFonts w:hint="eastAsia" w:cs="Times New Roman"/>
        </w:rPr>
        <w:t>2.3水温：工业铂热电阻，测量范围：0℃～100℃，精度A级，分辨率：0.1℃。</w:t>
      </w:r>
    </w:p>
    <w:p>
      <w:pPr>
        <w:pStyle w:val="6"/>
        <w:shd w:val="clear" w:color="auto" w:fill="FFFFFF"/>
        <w:spacing w:before="0" w:beforeAutospacing="0" w:after="0" w:afterAutospacing="0" w:line="276" w:lineRule="auto"/>
        <w:rPr>
          <w:rFonts w:cs="Noto Sans"/>
        </w:rPr>
      </w:pPr>
      <w:r>
        <w:rPr>
          <w:rFonts w:hint="eastAsia" w:cs="Times New Roman"/>
        </w:rPr>
        <w:t>2.4蒸汽温度：工业铂热电阻，测量范围：0℃～150℃，精度A级，分辨率：0.1℃。</w:t>
      </w:r>
    </w:p>
    <w:p>
      <w:pPr>
        <w:pStyle w:val="6"/>
        <w:shd w:val="clear" w:color="auto" w:fill="FFFFFF"/>
        <w:spacing w:before="0" w:beforeAutospacing="0" w:after="0" w:afterAutospacing="0" w:line="276" w:lineRule="auto"/>
        <w:rPr>
          <w:rFonts w:cs="Noto Sans"/>
        </w:rPr>
      </w:pPr>
      <w:r>
        <w:rPr>
          <w:rFonts w:hint="eastAsia" w:cs="Times New Roman"/>
        </w:rPr>
        <w:t>2.5表面温度：K型热电偶，测量范围：0℃～450℃，准确度等级1级，最大允许误差：±1.8℃，分辨力:1℃。</w:t>
      </w:r>
    </w:p>
    <w:p>
      <w:pPr>
        <w:pStyle w:val="6"/>
        <w:shd w:val="clear" w:color="auto" w:fill="FFFFFF"/>
        <w:spacing w:before="0" w:beforeAutospacing="0" w:after="0" w:afterAutospacing="0" w:line="276" w:lineRule="auto"/>
        <w:rPr>
          <w:rFonts w:cs="Noto Sans"/>
        </w:rPr>
      </w:pPr>
      <w:r>
        <w:rPr>
          <w:rFonts w:hint="eastAsia" w:cs="Times New Roman"/>
        </w:rPr>
        <w:t>2.6相对湿度：环境部分测量范围:（30～95）%RH±3%RH，精度：±1%；燃气部分湿度范围:5～95%RH，精度:±2%，显示精度:0.1%RH。</w:t>
      </w:r>
    </w:p>
    <w:p>
      <w:pPr>
        <w:pStyle w:val="6"/>
        <w:shd w:val="clear" w:color="auto" w:fill="FFFFFF"/>
        <w:spacing w:before="0" w:beforeAutospacing="0" w:after="0" w:afterAutospacing="0" w:line="276" w:lineRule="auto"/>
        <w:rPr>
          <w:rFonts w:cs="Noto Sans"/>
        </w:rPr>
      </w:pPr>
      <w:r>
        <w:rPr>
          <w:rFonts w:hint="eastAsia" w:cs="Times New Roman"/>
        </w:rPr>
        <w:t>2.7质量：满足测量范围:0kg～15kg，分辨力10g电子秤一台；满足测量范围:0kg～300kg，分辨力20g电子秤一台。</w:t>
      </w:r>
    </w:p>
    <w:p>
      <w:pPr>
        <w:pStyle w:val="6"/>
        <w:shd w:val="clear" w:color="auto" w:fill="FFFFFF"/>
        <w:spacing w:before="0" w:beforeAutospacing="0" w:after="0" w:afterAutospacing="0" w:line="276" w:lineRule="auto"/>
        <w:rPr>
          <w:rFonts w:cs="Noto Sans"/>
        </w:rPr>
      </w:pPr>
      <w:r>
        <w:rPr>
          <w:rFonts w:hint="eastAsia" w:cs="Times New Roman"/>
        </w:rPr>
        <w:t>2.8大气压力：测量范围:81kPa～107kPa，最大允许误差:±0.25kPa，分辨力0.1kPa，配置电子压力传感器工作软件界面实时显示数值。</w:t>
      </w:r>
    </w:p>
    <w:p>
      <w:pPr>
        <w:pStyle w:val="6"/>
        <w:shd w:val="clear" w:color="auto" w:fill="FFFFFF"/>
        <w:spacing w:before="0" w:beforeAutospacing="0" w:after="0" w:afterAutospacing="0" w:line="276" w:lineRule="auto"/>
        <w:rPr>
          <w:rFonts w:cs="Noto Sans"/>
        </w:rPr>
      </w:pPr>
      <w:r>
        <w:rPr>
          <w:rFonts w:hint="eastAsia" w:cs="Times New Roman"/>
        </w:rPr>
        <w:t>2.9燃气压力：测量范围:0kPa～10kPa，准确度等级0.1级，最大允许误差±10Pa，分辨力1Pa，配置电子压力传感器工作软件界面实时显示数值。</w:t>
      </w:r>
    </w:p>
    <w:p>
      <w:pPr>
        <w:pStyle w:val="6"/>
        <w:shd w:val="clear" w:color="auto" w:fill="FFFFFF"/>
        <w:spacing w:before="0" w:beforeAutospacing="0" w:after="0" w:afterAutospacing="0" w:line="276" w:lineRule="auto"/>
        <w:rPr>
          <w:rFonts w:cs="Noto Sans"/>
        </w:rPr>
      </w:pPr>
      <w:r>
        <w:rPr>
          <w:rFonts w:hint="eastAsia" w:cs="Times New Roman"/>
        </w:rPr>
        <w:t>2.10燃气流量：测量范围:0.02m³/h～2.5m³/h，准确度等级1级，计量室容积0.9L，最小刻度0.2L，压力损失220Pa,使用压力范围0Pa～20kPa,接管口径20A,3/4B,标准脉冲当量0.1L/P，精度（重复性）±0.3%（标准偏差值）的干式气体流量计一台。测量范围0.04m³/h～6m³/h，准确度等级1级，计量室容积1.7L，最小刻度0.2L，压力损失300Pa,使用压力范围0Pa～20kPa,接管口径20A,3/4B,标准脉冲当量0.1L/P，精度（重复性）±0.3%（标准偏差值）的干式气体流量计一台。测量范围0.15m³/h～25m³/h，准确度等级1级，计量室容积9L，最小刻度2L，压力损失300Pa,使用压力范围0Pa～20kPa,接管口径50A,2B,标准脉冲当量1L/P，精度（重复性）±0.3%（标准偏差值）的干式气体流量计一台。3台流量计不需要拆卸流量计即可通过旋钮进行选择使用；流量计外壳材质采用铝合金压铸、镀锌钢板，内部容器材质采用铝合金压铸、镀锌钢板、聚缩醛树脂，隔膜材质采用含水橡胶涤纶布，其他材质采用镀镍黄铜、不锈钢和聚碳酸酯。</w:t>
      </w:r>
    </w:p>
    <w:p>
      <w:pPr>
        <w:pStyle w:val="6"/>
        <w:shd w:val="clear" w:color="auto" w:fill="FFFFFF"/>
        <w:spacing w:before="0" w:beforeAutospacing="0" w:after="0" w:afterAutospacing="0" w:line="276" w:lineRule="auto"/>
        <w:rPr>
          <w:rFonts w:cs="Noto Sans"/>
        </w:rPr>
      </w:pPr>
      <w:r>
        <w:rPr>
          <w:rFonts w:hint="eastAsia" w:cs="Times New Roman"/>
        </w:rPr>
        <w:t>2.11气密性：配备压力测量范围:3～50kPa，泄漏量测量范围:0.25～9.99mL/min，最大允许误差泄漏率±5%检漏仪一台。</w:t>
      </w:r>
    </w:p>
    <w:p>
      <w:pPr>
        <w:pStyle w:val="6"/>
        <w:shd w:val="clear" w:color="auto" w:fill="FFFFFF"/>
        <w:spacing w:before="0" w:beforeAutospacing="0" w:after="0" w:afterAutospacing="0" w:line="276" w:lineRule="auto"/>
        <w:rPr>
          <w:rFonts w:cs="Noto Sans"/>
        </w:rPr>
      </w:pPr>
      <w:r>
        <w:rPr>
          <w:rFonts w:hint="eastAsia" w:cs="Times New Roman"/>
        </w:rPr>
        <w:t>2.12噪声：配备测量范围：30～130dB，准确度等级2级，分辨力0.1dB声级计一台。</w:t>
      </w:r>
    </w:p>
    <w:p>
      <w:pPr>
        <w:pStyle w:val="6"/>
        <w:shd w:val="clear" w:color="auto" w:fill="FFFFFF"/>
        <w:spacing w:before="0" w:beforeAutospacing="0" w:after="0" w:afterAutospacing="0" w:line="276" w:lineRule="auto"/>
        <w:rPr>
          <w:rFonts w:cs="Noto Sans"/>
        </w:rPr>
      </w:pPr>
      <w:r>
        <w:rPr>
          <w:rFonts w:hint="eastAsia" w:cs="Times New Roman"/>
        </w:rPr>
        <w:t>2.13燃气压力自动调节：调压范围:500～8000Pa，稳压性能:±10Pa。</w:t>
      </w:r>
    </w:p>
    <w:p>
      <w:pPr>
        <w:pStyle w:val="6"/>
        <w:shd w:val="clear" w:color="auto" w:fill="FFFFFF"/>
        <w:spacing w:before="0" w:beforeAutospacing="0" w:after="0" w:afterAutospacing="0" w:line="276" w:lineRule="auto"/>
        <w:rPr>
          <w:rFonts w:cs="Noto Sans"/>
        </w:rPr>
      </w:pPr>
      <w:r>
        <w:rPr>
          <w:rFonts w:hint="eastAsia" w:cs="Times New Roman"/>
        </w:rPr>
        <w:t>2.14自动搅拌：伺服电机，电动搅拌，频率≥30次/min。</w:t>
      </w:r>
    </w:p>
    <w:p>
      <w:pPr>
        <w:pStyle w:val="10"/>
        <w:shd w:val="clear" w:color="auto" w:fill="FFFFFF"/>
        <w:spacing w:before="0" w:beforeAutospacing="0" w:after="0" w:afterAutospacing="0" w:line="276" w:lineRule="auto"/>
        <w:rPr>
          <w:rFonts w:cs="Noto Sans"/>
          <w:b/>
        </w:rPr>
      </w:pPr>
      <w:r>
        <w:rPr>
          <w:rFonts w:hint="eastAsia" w:cs="Calibri"/>
          <w:b/>
        </w:rPr>
        <w:t>3、其他要求</w:t>
      </w:r>
    </w:p>
    <w:p>
      <w:pPr>
        <w:pStyle w:val="6"/>
        <w:shd w:val="clear" w:color="auto" w:fill="FFFFFF"/>
        <w:spacing w:before="0" w:beforeAutospacing="0" w:after="0" w:afterAutospacing="0" w:line="276" w:lineRule="auto"/>
        <w:rPr>
          <w:rFonts w:cs="Noto Sans"/>
        </w:rPr>
      </w:pPr>
      <w:r>
        <w:rPr>
          <w:rFonts w:hint="eastAsia" w:cs="Times New Roman"/>
        </w:rPr>
        <w:t>3.1配备水汽分离装置：满足GB30720-2025标准附录A要求。</w:t>
      </w:r>
    </w:p>
    <w:p>
      <w:pPr>
        <w:pStyle w:val="6"/>
        <w:shd w:val="clear" w:color="auto" w:fill="FFFFFF"/>
        <w:spacing w:before="0" w:beforeAutospacing="0" w:after="0" w:afterAutospacing="0" w:line="276" w:lineRule="auto"/>
        <w:rPr>
          <w:rFonts w:cs="Noto Sans"/>
        </w:rPr>
      </w:pPr>
      <w:r>
        <w:rPr>
          <w:rFonts w:hint="eastAsia" w:cs="Times New Roman"/>
        </w:rPr>
        <w:t>3.2配备蒸箱恒温定压供水装置：实现自动控制，配置开式保温水箱，配置冷热恒温机组，可自动将自来水温度控制和室温基本一致，压力输出采用定压水泵恒压输出，定量控制采用称量方式；供水温度20～25℃±0.5℃，压力0.1～0.4MPa，供水能力＞30L/次。</w:t>
      </w:r>
    </w:p>
    <w:p>
      <w:pPr>
        <w:pStyle w:val="6"/>
        <w:shd w:val="clear" w:color="auto" w:fill="FFFFFF"/>
        <w:spacing w:before="0" w:beforeAutospacing="0" w:after="0" w:afterAutospacing="0" w:line="276" w:lineRule="auto"/>
        <w:rPr>
          <w:rFonts w:cs="Noto Sans"/>
        </w:rPr>
      </w:pPr>
      <w:r>
        <w:rPr>
          <w:rFonts w:hint="eastAsia" w:cs="Times New Roman"/>
        </w:rPr>
        <w:t>3.3配备试验用锅：直径300mm平头炉试验用锅8套，须满足GB35848-2024标准表10要求；炒菜灶试验用锅4件套，采用渗氮处理后的双耳球面熟铁锅，锅的结构尺寸满足GB35848-2024图9和表12；锅盖采用厚度为1.5mm的钢板制作；搅拌器结构满足GB35848-2024图8，直径为测试用锅内径减160mm。</w:t>
      </w:r>
    </w:p>
    <w:p>
      <w:pPr>
        <w:pStyle w:val="10"/>
        <w:shd w:val="clear" w:color="auto" w:fill="FFFFFF"/>
        <w:spacing w:before="0" w:beforeAutospacing="0" w:after="0" w:afterAutospacing="0" w:line="276" w:lineRule="auto"/>
        <w:rPr>
          <w:rFonts w:cs="Noto Sans"/>
        </w:rPr>
      </w:pPr>
      <w:r>
        <w:rPr>
          <w:rFonts w:hint="eastAsia" w:cs="Calibri"/>
        </w:rPr>
        <w:t>3.4配置UPS电源，具备断电记忆功能，所有设定参数及测试次数在断电后都可保存。</w:t>
      </w:r>
    </w:p>
    <w:p>
      <w:pPr>
        <w:pStyle w:val="6"/>
        <w:shd w:val="clear" w:color="auto" w:fill="FFFFFF"/>
        <w:spacing w:before="0" w:beforeAutospacing="0" w:after="0" w:afterAutospacing="0" w:line="276" w:lineRule="auto"/>
        <w:rPr>
          <w:rFonts w:cs="Noto Sans"/>
        </w:rPr>
      </w:pPr>
      <w:r>
        <w:rPr>
          <w:rFonts w:hint="eastAsia" w:cs="Times New Roman"/>
        </w:rPr>
        <w:t>3.5设备出气端配一进三出接头，可用于多路进气器具的检测。</w:t>
      </w:r>
    </w:p>
    <w:p>
      <w:pPr>
        <w:pStyle w:val="10"/>
        <w:shd w:val="clear" w:color="auto" w:fill="FFFFFF"/>
        <w:spacing w:before="0" w:beforeAutospacing="0" w:after="0" w:afterAutospacing="0" w:line="276" w:lineRule="auto"/>
        <w:rPr>
          <w:rFonts w:cs="Noto Sans"/>
        </w:rPr>
      </w:pPr>
      <w:r>
        <w:rPr>
          <w:rFonts w:hint="eastAsia" w:cs="Calibri"/>
        </w:rPr>
        <w:t>3.6传感器采用活接，便于拆卸校准。</w:t>
      </w:r>
    </w:p>
    <w:p>
      <w:pPr>
        <w:pStyle w:val="10"/>
        <w:shd w:val="clear" w:color="auto" w:fill="FFFFFF"/>
        <w:spacing w:before="0" w:beforeAutospacing="0" w:after="0" w:afterAutospacing="0" w:line="276" w:lineRule="auto"/>
        <w:rPr>
          <w:rFonts w:cs="Noto Sans"/>
        </w:rPr>
      </w:pPr>
      <w:r>
        <w:rPr>
          <w:rFonts w:hint="eastAsia" w:cs="Calibri"/>
        </w:rPr>
        <w:t>3.7工控一体机,显示尺寸≥19 英寸工业级一体机，处理器为工业级多核处理器，综合性能不低于七代酷睿I5同等水平，主频≥2.5GHz；内存≥16GB；固态硬盘≥256GB；接口丰富，适配现场外设对接。配置专用软件，PLC控制及采集模块，开关电源等。</w:t>
      </w:r>
    </w:p>
    <w:p>
      <w:pPr>
        <w:pStyle w:val="10"/>
        <w:shd w:val="clear" w:color="auto" w:fill="FFFFFF"/>
        <w:spacing w:before="0" w:beforeAutospacing="0" w:after="0" w:afterAutospacing="0" w:line="276" w:lineRule="auto"/>
        <w:jc w:val="center"/>
        <w:rPr>
          <w:rFonts w:cs="Noto Sans"/>
          <w:b/>
        </w:rPr>
      </w:pPr>
      <w:r>
        <w:rPr>
          <w:rFonts w:cs="Noto Sans"/>
          <w:b/>
        </w:rPr>
        <w:t>（五）</w:t>
      </w:r>
      <w:r>
        <w:rPr>
          <w:rStyle w:val="12"/>
          <w:rFonts w:hint="eastAsia" w:cs="Calibri"/>
          <w:bCs w:val="0"/>
        </w:rPr>
        <w:t>家用燃气灶具综合性能测试系统</w:t>
      </w:r>
    </w:p>
    <w:p>
      <w:pPr>
        <w:pStyle w:val="6"/>
        <w:shd w:val="clear" w:color="auto" w:fill="FFFFFF"/>
        <w:spacing w:before="0" w:beforeAutospacing="0" w:after="0" w:afterAutospacing="0" w:line="276" w:lineRule="auto"/>
        <w:rPr>
          <w:rFonts w:cs="Noto Sans"/>
        </w:rPr>
      </w:pPr>
      <w:r>
        <w:rPr>
          <w:rFonts w:hint="eastAsia" w:cs="Times New Roman"/>
        </w:rPr>
        <w:t>主要用途：该设备是对家用燃气灶具进行各项性能检验的试验装置。主要用于我所家用燃气灶具的产品质量及性能检测，适用标准</w:t>
      </w:r>
      <w:r>
        <w:rPr>
          <w:rFonts w:hint="eastAsia" w:cs="Times New Roman"/>
          <w:shd w:val="clear" w:color="auto" w:fill="FFFFFF"/>
        </w:rPr>
        <w:t>GB16410-2020《家用燃气灶具》、GB30720-2025《燃气灶具能效限定值及能效等级》、GB/T16411-2023《家用燃气燃烧器具的通用试验方法》等相关燃气具标准要求。</w:t>
      </w:r>
    </w:p>
    <w:p>
      <w:pPr>
        <w:pStyle w:val="6"/>
        <w:shd w:val="clear" w:color="auto" w:fill="FFFFFF"/>
        <w:spacing w:before="0" w:beforeAutospacing="0" w:after="0" w:afterAutospacing="0" w:line="276" w:lineRule="auto"/>
        <w:rPr>
          <w:rFonts w:cs="Noto Sans"/>
          <w:b/>
        </w:rPr>
      </w:pPr>
      <w:r>
        <w:rPr>
          <w:rFonts w:hint="eastAsia" w:cs="Times New Roman"/>
          <w:b/>
        </w:rPr>
        <w:t>1、基本性能要求</w:t>
      </w:r>
    </w:p>
    <w:p>
      <w:pPr>
        <w:pStyle w:val="6"/>
        <w:shd w:val="clear" w:color="auto" w:fill="FFFFFF"/>
        <w:spacing w:before="0" w:beforeAutospacing="0" w:after="0" w:afterAutospacing="0" w:line="276" w:lineRule="auto"/>
        <w:rPr>
          <w:rFonts w:cs="Noto Sans"/>
        </w:rPr>
      </w:pPr>
      <w:r>
        <w:rPr>
          <w:rFonts w:hint="eastAsia" w:cs="Times New Roman"/>
        </w:rPr>
        <w:t>1.1家用燃气灶具综合性能测试系统检测范围：设备检测性能满足检测GB16410-2020家用燃气灶具标准要求。检测项目包括气密性、热负荷、燃烧工况、温升、热效率、安全装置等试验。</w:t>
      </w:r>
    </w:p>
    <w:p>
      <w:pPr>
        <w:pStyle w:val="6"/>
        <w:shd w:val="clear" w:color="auto" w:fill="FFFFFF"/>
        <w:spacing w:before="0" w:beforeAutospacing="0" w:after="0" w:afterAutospacing="0" w:line="276" w:lineRule="auto"/>
        <w:rPr>
          <w:rFonts w:cs="Noto Sans"/>
        </w:rPr>
      </w:pPr>
      <w:r>
        <w:rPr>
          <w:rFonts w:hint="eastAsia" w:cs="Times New Roman"/>
        </w:rPr>
        <w:t>1.2家用燃气灶具综合性能测试系统应配备工作站和相关程序软件，能够实现对试验环境温湿度、水温、流量计内燃气温度、大气压力、流量计内燃气压力，燃气具前的燃气压力、燃气消耗量、燃气流量的实时监控，并在程序软件测试界面显示；应能显示热负荷测试耗气量、测试时间，自动计算实测热负荷、折算热负荷；应能显示热效率测试耗气量，计算热效率。</w:t>
      </w:r>
    </w:p>
    <w:p>
      <w:pPr>
        <w:pStyle w:val="10"/>
        <w:shd w:val="clear" w:color="auto" w:fill="FFFFFF"/>
        <w:spacing w:before="0" w:beforeAutospacing="0" w:after="0" w:afterAutospacing="0" w:line="276" w:lineRule="auto"/>
        <w:rPr>
          <w:rFonts w:cs="Noto Sans"/>
          <w:b/>
        </w:rPr>
      </w:pPr>
      <w:r>
        <w:rPr>
          <w:rFonts w:hint="eastAsia" w:cs="Calibri"/>
          <w:b/>
        </w:rPr>
        <w:t>2、主要技术参数</w:t>
      </w:r>
    </w:p>
    <w:p>
      <w:pPr>
        <w:pStyle w:val="6"/>
        <w:shd w:val="clear" w:color="auto" w:fill="FFFFFF"/>
        <w:spacing w:before="0" w:beforeAutospacing="0" w:after="0" w:afterAutospacing="0" w:line="276" w:lineRule="auto"/>
        <w:rPr>
          <w:rFonts w:cs="Noto Sans"/>
        </w:rPr>
      </w:pPr>
      <w:r>
        <w:rPr>
          <w:rFonts w:hint="eastAsia" w:cs="Times New Roman"/>
        </w:rPr>
        <w:t>2.1环境温度：配置3点式环境温度采集装置，布置于室内规定位置(器具左、右、前各1个，共3个)。传感器采用四线制PT100，温度范围：0～50℃,精度等级A级，显示精度±0.1℃。温度探头规格φ3*100mm，预留线长≥5m，可固定在支架上，高度可以调节。</w:t>
      </w:r>
    </w:p>
    <w:p>
      <w:pPr>
        <w:pStyle w:val="6"/>
        <w:shd w:val="clear" w:color="auto" w:fill="FFFFFF"/>
        <w:spacing w:before="0" w:beforeAutospacing="0" w:after="0" w:afterAutospacing="0" w:line="276" w:lineRule="auto"/>
        <w:rPr>
          <w:rFonts w:cs="Noto Sans"/>
        </w:rPr>
      </w:pPr>
      <w:r>
        <w:rPr>
          <w:rFonts w:hint="eastAsia" w:cs="Times New Roman"/>
        </w:rPr>
        <w:t>2.2燃气温度：工业铂热电阻，测量范围：0℃～50℃，准确度等级A级，分辨力0.1℃。</w:t>
      </w:r>
    </w:p>
    <w:p>
      <w:pPr>
        <w:pStyle w:val="6"/>
        <w:shd w:val="clear" w:color="auto" w:fill="FFFFFF"/>
        <w:spacing w:before="0" w:beforeAutospacing="0" w:after="0" w:afterAutospacing="0" w:line="276" w:lineRule="auto"/>
        <w:rPr>
          <w:rFonts w:cs="Noto Sans"/>
        </w:rPr>
      </w:pPr>
      <w:r>
        <w:rPr>
          <w:rFonts w:hint="eastAsia" w:cs="Times New Roman"/>
        </w:rPr>
        <w:t>2.3水温：工业铂热电阻，测量范围：0℃～100℃，准确度等级A级，分辨力：0.1℃。</w:t>
      </w:r>
    </w:p>
    <w:p>
      <w:pPr>
        <w:pStyle w:val="6"/>
        <w:shd w:val="clear" w:color="auto" w:fill="FFFFFF"/>
        <w:spacing w:before="0" w:beforeAutospacing="0" w:after="0" w:afterAutospacing="0" w:line="276" w:lineRule="auto"/>
        <w:rPr>
          <w:rFonts w:cs="Noto Sans"/>
        </w:rPr>
      </w:pPr>
      <w:r>
        <w:rPr>
          <w:rFonts w:hint="eastAsia" w:cs="Times New Roman"/>
        </w:rPr>
        <w:t>2.4表面温度：K型热电偶，测量范围0℃～300℃，准确度等级1级，分辨力：1℃。</w:t>
      </w:r>
    </w:p>
    <w:p>
      <w:pPr>
        <w:pStyle w:val="6"/>
        <w:shd w:val="clear" w:color="auto" w:fill="FFFFFF"/>
        <w:spacing w:before="0" w:beforeAutospacing="0" w:after="0" w:afterAutospacing="0" w:line="276" w:lineRule="auto"/>
        <w:rPr>
          <w:rFonts w:cs="Noto Sans"/>
        </w:rPr>
      </w:pPr>
      <w:r>
        <w:rPr>
          <w:rFonts w:hint="eastAsia" w:cs="Times New Roman"/>
        </w:rPr>
        <w:t>2.5环境湿度：环境部分测量范围（30～95）%RH±3%RH，精度±1%；</w:t>
      </w:r>
    </w:p>
    <w:p>
      <w:pPr>
        <w:pStyle w:val="6"/>
        <w:shd w:val="clear" w:color="auto" w:fill="FFFFFF"/>
        <w:spacing w:before="0" w:beforeAutospacing="0" w:after="0" w:afterAutospacing="0" w:line="276" w:lineRule="auto"/>
        <w:rPr>
          <w:rFonts w:cs="Noto Sans"/>
        </w:rPr>
      </w:pPr>
      <w:r>
        <w:rPr>
          <w:rFonts w:hint="eastAsia" w:cs="Times New Roman"/>
        </w:rPr>
        <w:t>2.6压力：大气压力部分配置电子压力传感器，工作软件界面实时显示数值，测量范围：81kPa～107kPa，最大允许误差±0.25kPa，分辨力0.1kPa。燃气压力部分配置电子压力传感器，工作软件界面实时显示数值，测量范围：0kPa～5kPa，准确度等级0.25级，最大允许误差±10Pa，分辨力1Pa。</w:t>
      </w:r>
    </w:p>
    <w:p>
      <w:pPr>
        <w:pStyle w:val="6"/>
        <w:shd w:val="clear" w:color="auto" w:fill="FFFFFF"/>
        <w:spacing w:before="0" w:beforeAutospacing="0" w:after="0" w:afterAutospacing="0" w:line="276" w:lineRule="auto"/>
        <w:rPr>
          <w:rFonts w:cs="Noto Sans"/>
        </w:rPr>
      </w:pPr>
      <w:r>
        <w:rPr>
          <w:rFonts w:hint="eastAsia" w:cs="Times New Roman"/>
        </w:rPr>
        <w:t>2.7燃气流量：测量范围：5L/h～1500L/h,计量鼓容积2.5L，指针1周5L，最小刻度20mL，压力损失150Pa，使用压力范围:0kPa～10kPa，精度（重复性）：1/2Qmax以上±0.15%(标准偏差值)，1/2Qmax以下±0.1%(标准偏差值)，标准脉冲当量100mL/p，准确度等级1级，计量鼓材质不锈钢，切削加工零件材质黄铜，连接部位采用焊锡连接的湿式气体流量计1台，集成表压传感器量程0～5kPa，精度±0.25%及以上，要求响应速度＜0.1s,同时配置采用四线制PT100燃气温度传感器量程0～50℃，精度等级A级，传感器集成于湿表上能与测试系统连接。</w:t>
      </w:r>
    </w:p>
    <w:p>
      <w:pPr>
        <w:pStyle w:val="6"/>
        <w:shd w:val="clear" w:color="auto" w:fill="FFFFFF"/>
        <w:spacing w:before="0" w:beforeAutospacing="0" w:after="0" w:afterAutospacing="0" w:line="276" w:lineRule="auto"/>
        <w:rPr>
          <w:rFonts w:cs="Noto Sans"/>
        </w:rPr>
      </w:pPr>
      <w:r>
        <w:rPr>
          <w:rFonts w:hint="eastAsia" w:cs="Times New Roman"/>
        </w:rPr>
        <w:t>2.8时间：分辨率0.01s。</w:t>
      </w:r>
    </w:p>
    <w:p>
      <w:pPr>
        <w:pStyle w:val="6"/>
        <w:shd w:val="clear" w:color="auto" w:fill="FFFFFF"/>
        <w:spacing w:before="0" w:beforeAutospacing="0" w:after="0" w:afterAutospacing="0" w:line="276" w:lineRule="auto"/>
        <w:rPr>
          <w:rFonts w:cs="Noto Sans"/>
        </w:rPr>
      </w:pPr>
      <w:r>
        <w:rPr>
          <w:rFonts w:hint="eastAsia" w:cs="Times New Roman"/>
        </w:rPr>
        <w:t>2.9气密性：配备压力测量范围：3～50kPa，泄漏量测量范围：0.01～2.0mL/min最大允许误差泄漏率≤±5%检漏仪一台。</w:t>
      </w:r>
    </w:p>
    <w:p>
      <w:pPr>
        <w:pStyle w:val="6"/>
        <w:shd w:val="clear" w:color="auto" w:fill="FFFFFF"/>
        <w:spacing w:before="0" w:beforeAutospacing="0" w:after="0" w:afterAutospacing="0" w:line="276" w:lineRule="auto"/>
        <w:rPr>
          <w:rFonts w:cs="Noto Sans"/>
        </w:rPr>
      </w:pPr>
      <w:r>
        <w:rPr>
          <w:rFonts w:hint="eastAsia" w:cs="Times New Roman"/>
        </w:rPr>
        <w:t>2.10燃气压力自动调节装置：调压范围：500～5000Pa，稳压性能：±10Pa。</w:t>
      </w:r>
    </w:p>
    <w:p>
      <w:pPr>
        <w:pStyle w:val="10"/>
        <w:shd w:val="clear" w:color="auto" w:fill="FFFFFF"/>
        <w:spacing w:before="0" w:beforeAutospacing="0" w:after="0" w:afterAutospacing="0" w:line="276" w:lineRule="auto"/>
        <w:rPr>
          <w:rFonts w:cs="Noto Sans"/>
        </w:rPr>
      </w:pPr>
      <w:r>
        <w:rPr>
          <w:rFonts w:hint="eastAsia" w:cs="Calibri"/>
        </w:rPr>
        <w:t>2.11自动搅拌装置：电动搅拌，频率≥30次/min。</w:t>
      </w:r>
    </w:p>
    <w:p>
      <w:pPr>
        <w:pStyle w:val="10"/>
        <w:shd w:val="clear" w:color="auto" w:fill="FFFFFF"/>
        <w:spacing w:before="0" w:beforeAutospacing="0" w:after="0" w:afterAutospacing="0" w:line="276" w:lineRule="auto"/>
        <w:rPr>
          <w:rFonts w:cs="Noto Sans"/>
        </w:rPr>
      </w:pPr>
      <w:r>
        <w:rPr>
          <w:rFonts w:hint="eastAsia" w:cs="Calibri"/>
        </w:rPr>
        <w:t>2.12恒温水系统：单次制水能力≥15kg，控温范围：20～30℃，精度±1℃。</w:t>
      </w:r>
    </w:p>
    <w:p>
      <w:pPr>
        <w:pStyle w:val="10"/>
        <w:shd w:val="clear" w:color="auto" w:fill="FFFFFF"/>
        <w:spacing w:before="0" w:beforeAutospacing="0" w:after="0" w:afterAutospacing="0" w:line="276" w:lineRule="auto"/>
        <w:rPr>
          <w:rFonts w:cs="Noto Sans"/>
        </w:rPr>
      </w:pPr>
      <w:r>
        <w:rPr>
          <w:rFonts w:hint="eastAsia" w:cs="Calibri"/>
        </w:rPr>
        <w:t>2.13自动称重系统：范围：0～15kg，分辨力：10g,自动放水，数据自动保存。</w:t>
      </w:r>
    </w:p>
    <w:p>
      <w:pPr>
        <w:pStyle w:val="10"/>
        <w:shd w:val="clear" w:color="auto" w:fill="FFFFFF"/>
        <w:spacing w:before="0" w:beforeAutospacing="0" w:after="0" w:afterAutospacing="0" w:line="276" w:lineRule="auto"/>
        <w:rPr>
          <w:rFonts w:cs="Noto Sans"/>
        </w:rPr>
      </w:pPr>
      <w:r>
        <w:rPr>
          <w:rFonts w:hint="eastAsia" w:cs="Calibri"/>
        </w:rPr>
        <w:t>2.14烟气分析装置：CO量程0～10000ppm，分辨率1ppm，精度满足或优于±10ppm(0-199ppm)，±5%(200ppm-2000ppm),±10%（2001-10000ppm）；CO</w:t>
      </w:r>
      <w:r>
        <w:rPr>
          <w:rFonts w:hint="eastAsia" w:cs="Calibri"/>
          <w:vertAlign w:val="subscript"/>
        </w:rPr>
        <w:t>2</w:t>
      </w:r>
      <w:r>
        <w:rPr>
          <w:rFonts w:hint="eastAsia" w:cs="Calibri"/>
        </w:rPr>
        <w:t>测量范围满足或优于0～20Vol.%，分辨率0.01%，测量精度满足或优于±0.3Vol%+1%测量值（0-25Vol.%）；O</w:t>
      </w:r>
      <w:r>
        <w:rPr>
          <w:rFonts w:hint="eastAsia" w:cs="Calibri"/>
          <w:vertAlign w:val="subscript"/>
        </w:rPr>
        <w:t>2</w:t>
      </w:r>
      <w:r>
        <w:rPr>
          <w:rFonts w:hint="eastAsia" w:cs="Calibri"/>
        </w:rPr>
        <w:t>量程0～25%，分辨率</w:t>
      </w:r>
      <w:r>
        <w:rPr>
          <w:rFonts w:hint="eastAsia" w:hAnsi="MS Mincho" w:eastAsia="MS Mincho" w:cs="MS Mincho"/>
        </w:rPr>
        <w:t>‌</w:t>
      </w:r>
      <w:r>
        <w:rPr>
          <w:rFonts w:hint="eastAsia" w:cs="Calibri"/>
        </w:rPr>
        <w:t>0.01Vol.%，精度</w:t>
      </w:r>
      <w:r>
        <w:rPr>
          <w:rFonts w:hint="eastAsia" w:hAnsi="MS Mincho" w:eastAsia="MS Mincho" w:cs="MS Mincho"/>
        </w:rPr>
        <w:t>‌</w:t>
      </w:r>
      <w:r>
        <w:rPr>
          <w:rFonts w:hint="eastAsia"/>
        </w:rPr>
        <w:t>±</w:t>
      </w:r>
      <w:r>
        <w:rPr>
          <w:rFonts w:hint="eastAsia" w:cs="Calibri"/>
        </w:rPr>
        <w:t>0.8%满量程；NO量程满足或优于0～2000ppm，分辨率1ppm，精度满足或优于±5ppm(0-99ppm)，±5%(100-1999ppm)；NO</w:t>
      </w:r>
      <w:r>
        <w:rPr>
          <w:rFonts w:hint="eastAsia" w:cs="Calibri"/>
          <w:vertAlign w:val="subscript"/>
        </w:rPr>
        <w:t>2</w:t>
      </w:r>
      <w:r>
        <w:rPr>
          <w:rFonts w:hint="eastAsia" w:cs="Calibri"/>
        </w:rPr>
        <w:t>量程满足或优于0～500ppm，分辨率满足或优于1ppm，精度满足或优于±5ppm(0-99.9ppm)，±5%(100-500ppm)；烟气温度测量范围0～1100℃，精度满足或优于±1℃+1位(0-300℃)，±1.0%测量值(＞300℃)。</w:t>
      </w:r>
    </w:p>
    <w:p>
      <w:pPr>
        <w:pStyle w:val="10"/>
        <w:shd w:val="clear" w:color="auto" w:fill="FFFFFF"/>
        <w:spacing w:before="0" w:beforeAutospacing="0" w:after="0" w:afterAutospacing="0" w:line="276" w:lineRule="auto"/>
        <w:rPr>
          <w:rFonts w:cs="Noto Sans"/>
          <w:b/>
        </w:rPr>
      </w:pPr>
      <w:r>
        <w:rPr>
          <w:rFonts w:hint="eastAsia" w:cs="Calibri"/>
          <w:b/>
        </w:rPr>
        <w:t>3、其他要求</w:t>
      </w:r>
    </w:p>
    <w:p>
      <w:pPr>
        <w:pStyle w:val="10"/>
        <w:shd w:val="clear" w:color="auto" w:fill="FFFFFF"/>
        <w:spacing w:before="0" w:beforeAutospacing="0" w:after="0" w:afterAutospacing="0" w:line="276" w:lineRule="auto"/>
        <w:rPr>
          <w:rFonts w:cs="Noto Sans"/>
        </w:rPr>
      </w:pPr>
      <w:r>
        <w:rPr>
          <w:rFonts w:hint="eastAsia" w:cs="Calibri"/>
        </w:rPr>
        <w:t>3.1配置UPS电源，具备断电记忆功能，所有设定参数及测试次数在断电后都可保存。</w:t>
      </w:r>
    </w:p>
    <w:p>
      <w:pPr>
        <w:pStyle w:val="10"/>
        <w:shd w:val="clear" w:color="auto" w:fill="FFFFFF"/>
        <w:spacing w:before="0" w:beforeAutospacing="0" w:after="0" w:afterAutospacing="0" w:line="276" w:lineRule="auto"/>
        <w:rPr>
          <w:rFonts w:cs="Noto Sans"/>
        </w:rPr>
      </w:pPr>
      <w:r>
        <w:rPr>
          <w:rFonts w:hint="eastAsia" w:cs="Calibri"/>
        </w:rPr>
        <w:t>3.2配备温度角采用国标规定的黑色多层胶合板制作，表面亚光漆处理，并按照国标规定开好热电偶孔。</w:t>
      </w:r>
    </w:p>
    <w:p>
      <w:pPr>
        <w:pStyle w:val="10"/>
        <w:shd w:val="clear" w:color="auto" w:fill="FFFFFF"/>
        <w:spacing w:before="0" w:beforeAutospacing="0" w:after="0" w:afterAutospacing="0" w:line="276" w:lineRule="auto"/>
        <w:rPr>
          <w:rFonts w:cs="Noto Sans"/>
        </w:rPr>
      </w:pPr>
      <w:r>
        <w:rPr>
          <w:rFonts w:hint="eastAsia" w:cs="Calibri"/>
        </w:rPr>
        <w:t>3.3配备试验用锅8件套，满足GB16410图6、图12和表18试验用锅，包含锅、锅盖、搅拌器及烟气取样环。</w:t>
      </w:r>
    </w:p>
    <w:p>
      <w:pPr>
        <w:pStyle w:val="10"/>
        <w:shd w:val="clear" w:color="auto" w:fill="FFFFFF"/>
        <w:spacing w:before="0" w:beforeAutospacing="0" w:after="0" w:afterAutospacing="0" w:line="276" w:lineRule="auto"/>
        <w:rPr>
          <w:rFonts w:cs="Noto Sans"/>
        </w:rPr>
      </w:pPr>
      <w:r>
        <w:rPr>
          <w:rFonts w:hint="eastAsia" w:cs="Calibri"/>
        </w:rPr>
        <w:t>3.4检测台要兼容台式灶，嵌入式灶具和集成灶检测需求。</w:t>
      </w:r>
    </w:p>
    <w:p>
      <w:pPr>
        <w:pStyle w:val="10"/>
        <w:shd w:val="clear" w:color="auto" w:fill="FFFFFF"/>
        <w:spacing w:before="0" w:beforeAutospacing="0" w:after="0" w:afterAutospacing="0" w:line="276" w:lineRule="auto"/>
        <w:rPr>
          <w:rFonts w:cs="Noto Sans"/>
        </w:rPr>
      </w:pPr>
      <w:r>
        <w:rPr>
          <w:rFonts w:hint="eastAsia" w:cs="Calibri"/>
        </w:rPr>
        <w:t>3.5传感器采用活接，便于拆卸校准，提供测量仪表及传感器第三方校准证书。</w:t>
      </w:r>
    </w:p>
    <w:p>
      <w:pPr>
        <w:pStyle w:val="10"/>
        <w:shd w:val="clear" w:color="auto" w:fill="FFFFFF"/>
        <w:spacing w:before="0" w:beforeAutospacing="0" w:after="0" w:afterAutospacing="0" w:line="276" w:lineRule="auto"/>
        <w:rPr>
          <w:rFonts w:cs="Noto Sans"/>
        </w:rPr>
      </w:pPr>
      <w:r>
        <w:rPr>
          <w:rFonts w:hint="eastAsia" w:cs="Noto Sans"/>
        </w:rPr>
        <w:t>3.6工控一体机,≥19 英寸工业级触控一体机，处理器为工业级多核处理器，综合性能不低于七代酷睿I5同等水平，主频≥2.5GHz；内存≥16GB；固态硬盘≥256GB；接口丰富，适配现场外设对接。配置专用软件，PLC控制及采集模块，开关电源等。</w:t>
      </w:r>
    </w:p>
    <w:p>
      <w:pPr>
        <w:widowControl/>
        <w:shd w:val="clear" w:color="auto" w:fill="FFFFFF"/>
        <w:wordWrap w:val="0"/>
        <w:ind w:firstLine="480" w:firstLineChars="200"/>
        <w:jc w:val="left"/>
        <w:rPr>
          <w:rFonts w:ascii="宋体" w:hAnsi="宋体" w:eastAsia="宋体" w:cs="Noto Sans"/>
          <w:kern w:val="0"/>
          <w:sz w:val="24"/>
          <w:szCs w:val="24"/>
        </w:rPr>
      </w:pPr>
    </w:p>
    <w:p>
      <w:pPr>
        <w:widowControl/>
        <w:shd w:val="clear" w:color="auto" w:fill="FFFFFF"/>
        <w:spacing w:line="480" w:lineRule="auto"/>
        <w:ind w:firstLine="482" w:firstLineChars="200"/>
        <w:jc w:val="left"/>
        <w:outlineLvl w:val="2"/>
        <w:rPr>
          <w:rFonts w:ascii="宋体" w:hAnsi="宋体" w:eastAsia="宋体" w:cs="Noto Sans"/>
          <w:b/>
          <w:kern w:val="0"/>
          <w:sz w:val="24"/>
          <w:szCs w:val="27"/>
        </w:rPr>
      </w:pPr>
      <w:r>
        <w:rPr>
          <w:rFonts w:ascii="宋体" w:hAnsi="宋体" w:eastAsia="宋体" w:cs="Noto Sans"/>
          <w:b/>
          <w:kern w:val="0"/>
          <w:sz w:val="24"/>
          <w:szCs w:val="27"/>
        </w:rPr>
        <w:t>三、商务要求（以“★”标示的内容为不允许负偏离的实质性要求）</w:t>
      </w:r>
    </w:p>
    <w:p>
      <w:pPr>
        <w:widowControl/>
        <w:shd w:val="clear" w:color="auto" w:fill="FFFFFF"/>
        <w:wordWrap w:val="0"/>
        <w:spacing w:line="276" w:lineRule="auto"/>
        <w:ind w:firstLine="480"/>
        <w:rPr>
          <w:rFonts w:ascii="宋体" w:hAnsi="宋体" w:eastAsia="宋体" w:cs="Noto Sans"/>
          <w:kern w:val="0"/>
          <w:sz w:val="24"/>
          <w:szCs w:val="24"/>
        </w:rPr>
      </w:pPr>
      <w:r>
        <w:rPr>
          <w:rFonts w:ascii="宋体" w:hAnsi="宋体" w:eastAsia="宋体" w:cs="Noto Sans"/>
          <w:kern w:val="0"/>
          <w:sz w:val="24"/>
          <w:szCs w:val="24"/>
        </w:rPr>
        <w:t>采购包1：</w:t>
      </w:r>
    </w:p>
    <w:tbl>
      <w:tblPr>
        <w:tblStyle w:val="13"/>
        <w:tblW w:w="9938" w:type="dxa"/>
        <w:tblInd w:w="0" w:type="dxa"/>
        <w:tblLayout w:type="fixed"/>
        <w:tblCellMar>
          <w:top w:w="0" w:type="dxa"/>
          <w:left w:w="0" w:type="dxa"/>
          <w:bottom w:w="0" w:type="dxa"/>
          <w:right w:w="0" w:type="dxa"/>
        </w:tblCellMar>
      </w:tblPr>
      <w:tblGrid>
        <w:gridCol w:w="576"/>
        <w:gridCol w:w="851"/>
        <w:gridCol w:w="1558"/>
        <w:gridCol w:w="6953"/>
      </w:tblGrid>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shd w:val="clear" w:color="auto" w:fill="FAFAFA"/>
            <w:tcMar>
              <w:top w:w="0" w:type="dxa"/>
              <w:left w:w="150" w:type="dxa"/>
              <w:bottom w:w="0" w:type="dxa"/>
              <w:right w:w="150" w:type="dxa"/>
            </w:tcMar>
            <w:vAlign w:val="center"/>
          </w:tcPr>
          <w:p>
            <w:pPr>
              <w:widowControl/>
              <w:spacing w:line="276" w:lineRule="auto"/>
              <w:jc w:val="center"/>
              <w:rPr>
                <w:rFonts w:ascii="宋体" w:hAnsi="宋体" w:eastAsia="宋体" w:cs="宋体"/>
                <w:b/>
                <w:bCs/>
                <w:kern w:val="0"/>
                <w:sz w:val="24"/>
                <w:szCs w:val="24"/>
              </w:rPr>
            </w:pPr>
            <w:r>
              <w:rPr>
                <w:rFonts w:ascii="宋体" w:hAnsi="宋体" w:eastAsia="宋体" w:cs="宋体"/>
                <w:b/>
                <w:bCs/>
                <w:kern w:val="0"/>
                <w:sz w:val="24"/>
                <w:szCs w:val="24"/>
              </w:rPr>
              <w:t>序号</w:t>
            </w:r>
          </w:p>
        </w:tc>
        <w:tc>
          <w:tcPr>
            <w:tcW w:w="851" w:type="dxa"/>
            <w:tcBorders>
              <w:top w:val="single" w:color="000000" w:sz="8" w:space="0"/>
              <w:left w:val="single" w:color="000000" w:sz="8" w:space="0"/>
              <w:bottom w:val="single" w:color="000000" w:sz="8" w:space="0"/>
              <w:right w:val="single" w:color="000000" w:sz="8" w:space="0"/>
            </w:tcBorders>
            <w:shd w:val="clear" w:color="auto" w:fill="FAFAFA"/>
            <w:tcMar>
              <w:top w:w="0" w:type="dxa"/>
              <w:left w:w="150" w:type="dxa"/>
              <w:bottom w:w="0" w:type="dxa"/>
              <w:right w:w="150" w:type="dxa"/>
            </w:tcMar>
            <w:vAlign w:val="center"/>
          </w:tcPr>
          <w:p>
            <w:pPr>
              <w:widowControl/>
              <w:wordWrap w:val="0"/>
              <w:spacing w:line="276" w:lineRule="auto"/>
              <w:jc w:val="center"/>
              <w:rPr>
                <w:rFonts w:ascii="宋体" w:hAnsi="宋体" w:eastAsia="宋体" w:cs="宋体"/>
                <w:b/>
                <w:bCs/>
                <w:kern w:val="0"/>
                <w:sz w:val="24"/>
                <w:szCs w:val="24"/>
              </w:rPr>
            </w:pPr>
            <w:r>
              <w:rPr>
                <w:rFonts w:ascii="宋体" w:hAnsi="宋体" w:eastAsia="宋体" w:cs="宋体"/>
                <w:b/>
                <w:bCs/>
                <w:kern w:val="0"/>
                <w:sz w:val="24"/>
                <w:szCs w:val="24"/>
              </w:rPr>
              <w:t>参数性质</w:t>
            </w:r>
          </w:p>
        </w:tc>
        <w:tc>
          <w:tcPr>
            <w:tcW w:w="1558" w:type="dxa"/>
            <w:tcBorders>
              <w:top w:val="single" w:color="000000" w:sz="8" w:space="0"/>
              <w:left w:val="single" w:color="000000" w:sz="8" w:space="0"/>
              <w:bottom w:val="single" w:color="000000" w:sz="8" w:space="0"/>
              <w:right w:val="single" w:color="000000" w:sz="8" w:space="0"/>
            </w:tcBorders>
            <w:shd w:val="clear" w:color="auto" w:fill="FAFAFA"/>
            <w:tcMar>
              <w:top w:w="0" w:type="dxa"/>
              <w:left w:w="150" w:type="dxa"/>
              <w:bottom w:w="0" w:type="dxa"/>
              <w:right w:w="150" w:type="dxa"/>
            </w:tcMar>
            <w:vAlign w:val="center"/>
          </w:tcPr>
          <w:p>
            <w:pPr>
              <w:widowControl/>
              <w:wordWrap w:val="0"/>
              <w:spacing w:line="276" w:lineRule="auto"/>
              <w:jc w:val="center"/>
              <w:rPr>
                <w:rFonts w:ascii="宋体" w:hAnsi="宋体" w:eastAsia="宋体" w:cs="宋体"/>
                <w:b/>
                <w:bCs/>
                <w:kern w:val="0"/>
                <w:sz w:val="24"/>
                <w:szCs w:val="24"/>
              </w:rPr>
            </w:pPr>
            <w:r>
              <w:rPr>
                <w:rFonts w:ascii="宋体" w:hAnsi="宋体" w:eastAsia="宋体" w:cs="宋体"/>
                <w:b/>
                <w:bCs/>
                <w:kern w:val="0"/>
                <w:sz w:val="24"/>
                <w:szCs w:val="24"/>
              </w:rPr>
              <w:t>类型</w:t>
            </w:r>
          </w:p>
        </w:tc>
        <w:tc>
          <w:tcPr>
            <w:tcW w:w="6953" w:type="dxa"/>
            <w:tcBorders>
              <w:top w:val="single" w:color="000000" w:sz="8" w:space="0"/>
              <w:left w:val="single" w:color="000000" w:sz="8" w:space="0"/>
              <w:bottom w:val="single" w:color="000000" w:sz="8" w:space="0"/>
              <w:right w:val="single" w:color="000000" w:sz="8" w:space="0"/>
            </w:tcBorders>
            <w:shd w:val="clear" w:color="auto" w:fill="FAFAFA"/>
            <w:tcMar>
              <w:top w:w="0" w:type="dxa"/>
              <w:left w:w="150" w:type="dxa"/>
              <w:bottom w:w="0" w:type="dxa"/>
              <w:right w:w="150" w:type="dxa"/>
            </w:tcMar>
            <w:vAlign w:val="center"/>
          </w:tcPr>
          <w:p>
            <w:pPr>
              <w:widowControl/>
              <w:wordWrap w:val="0"/>
              <w:spacing w:line="276" w:lineRule="auto"/>
              <w:jc w:val="center"/>
              <w:rPr>
                <w:rFonts w:ascii="宋体" w:hAnsi="宋体" w:eastAsia="宋体" w:cs="宋体"/>
                <w:b/>
                <w:bCs/>
                <w:kern w:val="0"/>
                <w:sz w:val="24"/>
                <w:szCs w:val="24"/>
              </w:rPr>
            </w:pPr>
            <w:r>
              <w:rPr>
                <w:rFonts w:ascii="宋体" w:hAnsi="宋体" w:eastAsia="宋体" w:cs="宋体"/>
                <w:b/>
                <w:bCs/>
                <w:kern w:val="0"/>
                <w:sz w:val="24"/>
                <w:szCs w:val="24"/>
              </w:rPr>
              <w:t>要求</w:t>
            </w:r>
          </w:p>
        </w:tc>
      </w:tr>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spacing w:line="276" w:lineRule="auto"/>
              <w:jc w:val="center"/>
              <w:rPr>
                <w:rFonts w:ascii="宋体" w:hAnsi="宋体" w:eastAsia="宋体" w:cs="宋体"/>
                <w:kern w:val="0"/>
                <w:sz w:val="24"/>
                <w:szCs w:val="24"/>
              </w:rPr>
            </w:pPr>
            <w:r>
              <w:rPr>
                <w:rFonts w:ascii="宋体" w:hAnsi="宋体" w:eastAsia="宋体" w:cs="宋体"/>
                <w:kern w:val="0"/>
                <w:sz w:val="24"/>
                <w:szCs w:val="24"/>
              </w:rPr>
              <w:t>1</w:t>
            </w:r>
          </w:p>
        </w:tc>
        <w:tc>
          <w:tcPr>
            <w:tcW w:w="851"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w:t>
            </w:r>
          </w:p>
        </w:tc>
        <w:tc>
          <w:tcPr>
            <w:tcW w:w="1558"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交货时间</w:t>
            </w:r>
          </w:p>
        </w:tc>
        <w:tc>
          <w:tcPr>
            <w:tcW w:w="6953"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spacing w:line="276" w:lineRule="auto"/>
              <w:jc w:val="left"/>
              <w:rPr>
                <w:rFonts w:ascii="宋体" w:hAnsi="宋体" w:eastAsia="宋体" w:cs="宋体"/>
                <w:kern w:val="0"/>
                <w:sz w:val="24"/>
                <w:szCs w:val="24"/>
              </w:rPr>
            </w:pPr>
            <w:r>
              <w:rPr>
                <w:rFonts w:ascii="宋体" w:hAnsi="宋体" w:eastAsia="宋体" w:cs="宋体"/>
                <w:kern w:val="0"/>
                <w:sz w:val="24"/>
                <w:szCs w:val="24"/>
              </w:rPr>
              <w:t>自合同签订之日起40日。</w:t>
            </w:r>
          </w:p>
        </w:tc>
      </w:tr>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2</w:t>
            </w:r>
          </w:p>
        </w:tc>
        <w:tc>
          <w:tcPr>
            <w:tcW w:w="851"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w:t>
            </w:r>
          </w:p>
        </w:tc>
        <w:tc>
          <w:tcPr>
            <w:tcW w:w="1558"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交货地点</w:t>
            </w:r>
          </w:p>
        </w:tc>
        <w:tc>
          <w:tcPr>
            <w:tcW w:w="6953"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采购人指定地点。</w:t>
            </w:r>
          </w:p>
        </w:tc>
      </w:tr>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3</w:t>
            </w:r>
          </w:p>
        </w:tc>
        <w:tc>
          <w:tcPr>
            <w:tcW w:w="851"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w:t>
            </w:r>
          </w:p>
        </w:tc>
        <w:tc>
          <w:tcPr>
            <w:tcW w:w="1558"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交货条件</w:t>
            </w:r>
          </w:p>
        </w:tc>
        <w:tc>
          <w:tcPr>
            <w:tcW w:w="6953"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到货15天内完成安装调试且满足验收要求。</w:t>
            </w:r>
          </w:p>
        </w:tc>
      </w:tr>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4</w:t>
            </w:r>
          </w:p>
        </w:tc>
        <w:tc>
          <w:tcPr>
            <w:tcW w:w="851"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w:t>
            </w:r>
          </w:p>
        </w:tc>
        <w:tc>
          <w:tcPr>
            <w:tcW w:w="1558"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是否邀请投标人验收</w:t>
            </w:r>
          </w:p>
        </w:tc>
        <w:tc>
          <w:tcPr>
            <w:tcW w:w="6953"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不邀请投标人验收</w:t>
            </w:r>
          </w:p>
        </w:tc>
      </w:tr>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5</w:t>
            </w:r>
          </w:p>
        </w:tc>
        <w:tc>
          <w:tcPr>
            <w:tcW w:w="851"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w:t>
            </w:r>
          </w:p>
        </w:tc>
        <w:tc>
          <w:tcPr>
            <w:tcW w:w="1558"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履约验收方式</w:t>
            </w:r>
          </w:p>
        </w:tc>
        <w:tc>
          <w:tcPr>
            <w:tcW w:w="6953"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1、期次1，说明：按国家有关标准验收和招标文件要求验收。</w:t>
            </w:r>
          </w:p>
        </w:tc>
      </w:tr>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6</w:t>
            </w:r>
          </w:p>
        </w:tc>
        <w:tc>
          <w:tcPr>
            <w:tcW w:w="851"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w:t>
            </w:r>
          </w:p>
        </w:tc>
        <w:tc>
          <w:tcPr>
            <w:tcW w:w="1558"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合同支付方式</w:t>
            </w:r>
          </w:p>
        </w:tc>
        <w:tc>
          <w:tcPr>
            <w:tcW w:w="6953"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1、进度款，设备送达就位并完成安装调试，验收合格后，达到付款条件起30日内，支付合同总金额的50.00%</w:t>
            </w:r>
          </w:p>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2、进度款，</w:t>
            </w:r>
            <w:r>
              <w:rPr>
                <w:rFonts w:hint="eastAsia" w:ascii="宋体" w:hAnsi="宋体" w:eastAsia="宋体" w:cs="宋体"/>
                <w:kern w:val="0"/>
                <w:sz w:val="24"/>
                <w:szCs w:val="24"/>
              </w:rPr>
              <w:t>验收合格半年后</w:t>
            </w:r>
            <w:r>
              <w:rPr>
                <w:rFonts w:ascii="宋体" w:hAnsi="宋体" w:eastAsia="宋体" w:cs="宋体"/>
                <w:kern w:val="0"/>
                <w:sz w:val="24"/>
                <w:szCs w:val="24"/>
              </w:rPr>
              <w:t>，设备通过留样再试、期间核查、结合日常检测业务同比例内部比对等质控方式运转稳定后，达到付款条件起30日内，支付合同总金额的25.00%</w:t>
            </w:r>
          </w:p>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3、进度款，</w:t>
            </w:r>
            <w:r>
              <w:rPr>
                <w:rFonts w:hint="eastAsia" w:ascii="宋体" w:hAnsi="宋体" w:eastAsia="宋体" w:cs="宋体"/>
                <w:kern w:val="0"/>
                <w:sz w:val="24"/>
                <w:szCs w:val="24"/>
              </w:rPr>
              <w:t>验收合格一年后</w:t>
            </w:r>
            <w:r>
              <w:rPr>
                <w:rFonts w:ascii="宋体" w:hAnsi="宋体" w:eastAsia="宋体" w:cs="宋体"/>
                <w:kern w:val="0"/>
                <w:sz w:val="24"/>
                <w:szCs w:val="24"/>
              </w:rPr>
              <w:t>，设备再次通过留样再试、期间核查、结合日常检测业务内部比对等质控方式运转稳定且计量校准通过后，达到付款条件起30日内，支付合同总金额的25.00%</w:t>
            </w:r>
          </w:p>
        </w:tc>
      </w:tr>
      <w:tr>
        <w:tblPrEx>
          <w:tblLayout w:type="fixed"/>
          <w:tblCellMar>
            <w:top w:w="0" w:type="dxa"/>
            <w:left w:w="0" w:type="dxa"/>
            <w:bottom w:w="0" w:type="dxa"/>
            <w:right w:w="0" w:type="dxa"/>
          </w:tblCellMar>
        </w:tblPrEx>
        <w:tc>
          <w:tcPr>
            <w:tcW w:w="576"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7</w:t>
            </w:r>
          </w:p>
        </w:tc>
        <w:tc>
          <w:tcPr>
            <w:tcW w:w="851"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w:t>
            </w:r>
          </w:p>
        </w:tc>
        <w:tc>
          <w:tcPr>
            <w:tcW w:w="1558"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center"/>
              <w:rPr>
                <w:rFonts w:ascii="宋体" w:hAnsi="宋体" w:eastAsia="宋体" w:cs="宋体"/>
                <w:kern w:val="0"/>
                <w:sz w:val="24"/>
                <w:szCs w:val="24"/>
              </w:rPr>
            </w:pPr>
            <w:r>
              <w:rPr>
                <w:rFonts w:ascii="宋体" w:hAnsi="宋体" w:eastAsia="宋体" w:cs="宋体"/>
                <w:kern w:val="0"/>
                <w:sz w:val="24"/>
                <w:szCs w:val="24"/>
              </w:rPr>
              <w:t>履约保证金</w:t>
            </w:r>
          </w:p>
        </w:tc>
        <w:tc>
          <w:tcPr>
            <w:tcW w:w="6953" w:type="dxa"/>
            <w:tcBorders>
              <w:top w:val="single" w:color="000000" w:sz="8" w:space="0"/>
              <w:left w:val="single" w:color="000000" w:sz="8" w:space="0"/>
              <w:bottom w:val="single" w:color="000000" w:sz="8" w:space="0"/>
              <w:right w:val="single" w:color="000000" w:sz="8" w:space="0"/>
            </w:tcBorders>
            <w:tcMar>
              <w:top w:w="0" w:type="dxa"/>
              <w:left w:w="150" w:type="dxa"/>
              <w:bottom w:w="0" w:type="dxa"/>
              <w:right w:w="150" w:type="dxa"/>
            </w:tcMar>
            <w:vAlign w:val="center"/>
          </w:tcPr>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缴纳 , 本采购包履约保证金为合同金额的5%</w:t>
            </w:r>
          </w:p>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缴纳方式：银行转账，支票/汇票/本票，保函/保险</w:t>
            </w:r>
          </w:p>
          <w:p>
            <w:pPr>
              <w:widowControl/>
              <w:wordWrap w:val="0"/>
              <w:spacing w:line="276" w:lineRule="auto"/>
              <w:jc w:val="left"/>
              <w:rPr>
                <w:rFonts w:ascii="宋体" w:hAnsi="宋体" w:eastAsia="宋体" w:cs="宋体"/>
                <w:kern w:val="0"/>
                <w:sz w:val="24"/>
                <w:szCs w:val="24"/>
              </w:rPr>
            </w:pPr>
            <w:r>
              <w:rPr>
                <w:rFonts w:ascii="宋体" w:hAnsi="宋体" w:eastAsia="宋体" w:cs="宋体"/>
                <w:kern w:val="0"/>
                <w:sz w:val="24"/>
                <w:szCs w:val="24"/>
              </w:rPr>
              <w:t>说明：中标人在签订政府采购合同前三日内应向采购人缴纳履约保证金（按中标价计算），</w:t>
            </w:r>
            <w:r>
              <w:rPr>
                <w:rFonts w:hint="eastAsia" w:ascii="宋体" w:hAnsi="宋体" w:eastAsia="宋体" w:cs="宋体"/>
                <w:kern w:val="0"/>
                <w:sz w:val="24"/>
                <w:szCs w:val="24"/>
              </w:rPr>
              <w:t>待验收合格一年后</w:t>
            </w:r>
            <w:r>
              <w:rPr>
                <w:rFonts w:ascii="宋体" w:hAnsi="宋体" w:eastAsia="宋体" w:cs="宋体"/>
                <w:kern w:val="0"/>
                <w:sz w:val="24"/>
                <w:szCs w:val="24"/>
              </w:rPr>
              <w:t>，设备再次通过留样再试、期间核查、结合日常检测业务内部比对等质控方式运转稳定且通过计量校准且无违规情况下，由采购人在30个工作日内全额无息退还。</w:t>
            </w:r>
          </w:p>
        </w:tc>
      </w:tr>
    </w:tbl>
    <w:p>
      <w:pPr>
        <w:widowControl/>
        <w:shd w:val="clear" w:color="auto" w:fill="FFFFFF"/>
        <w:wordWrap w:val="0"/>
        <w:spacing w:line="276" w:lineRule="auto"/>
        <w:jc w:val="left"/>
        <w:rPr>
          <w:rFonts w:ascii="宋体" w:hAnsi="宋体" w:eastAsia="宋体" w:cs="Noto Sans"/>
          <w:kern w:val="0"/>
          <w:sz w:val="24"/>
          <w:szCs w:val="24"/>
        </w:rPr>
      </w:pPr>
      <w:r>
        <w:rPr>
          <w:rFonts w:ascii="宋体" w:hAnsi="宋体" w:eastAsia="宋体" w:cs="Noto Sans"/>
          <w:kern w:val="0"/>
          <w:sz w:val="24"/>
          <w:szCs w:val="24"/>
        </w:rPr>
        <w:t>其他商务要求</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8、货物包装方式</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8.1包装：货物交货时应按国家有关标准要求进行包装。</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8.2方式：包装必须与运输方式相适应，包装方式的确定及包装费用均由中标人负责；由于不适当的包装而造成货物在运输过程中有任何损坏由中标人负责。</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注：包装应足以承受整个过程中的运输、转运、装卸、储存等，充分考虑到运输途中的各种情况(如暴露于恶劣气候等)和项目所在地的气候特点，以及露天存放的需要。</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9、安装、调试</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9.1中标人应在签订合同时，向采购人提供安装、调试的进度计划表。</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9.2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9.3中标人负责组织专业技术人员进行设备调试，并向采购人安排的工作人员介绍设备功能。</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9.4设备安装、调试的完工期须按照合同的规定执行。</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10、验收标准和验收方法：</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10.1验收标准：产品质量应达到设计要求、招标文件及合同中要求的所有配置要求；安装调试各项指标和技术参数应符合招标文件规定的技术要求和有关验收标准要求。</w:t>
      </w:r>
      <w:r>
        <w:rPr>
          <w:rFonts w:hint="eastAsia" w:ascii="宋体" w:hAnsi="宋体" w:eastAsia="宋体" w:cs="宋体"/>
          <w:sz w:val="24"/>
          <w:szCs w:val="24"/>
        </w:rPr>
        <w:t>计量设备应经检定或校准（验收及质保期内产生的计量费用包含在投标总价中，由中标方承担，采购方不再另行支付任何费用）。</w:t>
      </w:r>
      <w:r>
        <w:rPr>
          <w:rFonts w:hint="eastAsia" w:ascii="宋体" w:hAnsi="宋体" w:eastAsia="宋体" w:cs="Times New Roman"/>
          <w:sz w:val="24"/>
          <w:szCs w:val="24"/>
        </w:rPr>
        <w:t>产品外观应无破损、裂缝和缺陷且标识清晰。若发现原包装破损或保修条款不满足要求，采购人有权不予接收，并要求中标人重新更换（费用包含在投标报价中），并按合同条款的有关规定执行。</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10.2验收方法：</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10.2.1出厂检验：中标人负责所提供货物的出厂检验，应按货物技术标准规定的检验项目和检验方法进行全面检验，保证货物原厂地和技术指标的真实性、完整性，并负责将货物送达采购人指定的供货地点。</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10.2.3安装调试检验：设备安装、调试过程，中标人应作详细检验记录。安装调试检验结果应符合制造厂产品标准和招标文件的规定。检验记录应真实并提供给采购人。</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10.2.4验收技术指标</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所有指标都会成为验收条款；验收过程中需要的耗材、标准品、人员、设备、计量检定（注：计量检定机构由业主指定，计量检定费用由中标人承担）和其他验收所需的费用全部由中标人承担。发现虚假响应参数，将不予以验收。</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10.2.5首次验收（到货15日内完成验收，包含调试复测、重新计量、二次供货等为满足验收要求所需的全部时间）</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①中标人所投产品如有需要计量相关认证的，设备计量机构由采购人指定，设备计量费用由中标人承担；设备第一次计量不合格的，中标人应整改、调试并完成重新计量，如设备两次计量不合格，采购人将不符合合同规定标准的产品按退货处理并有权终止合同并报监管部门，同时没收中标人缴纳的履约保证金用于赔偿采购人所受的损失。</w:t>
      </w:r>
    </w:p>
    <w:p>
      <w:pPr>
        <w:spacing w:line="276" w:lineRule="auto"/>
        <w:jc w:val="left"/>
        <w:rPr>
          <w:rFonts w:ascii="宋体" w:hAnsi="宋体" w:eastAsia="宋体" w:cs="Times New Roman"/>
          <w:sz w:val="24"/>
          <w:szCs w:val="24"/>
        </w:rPr>
      </w:pPr>
      <w:r>
        <w:rPr>
          <w:rFonts w:hint="eastAsia" w:ascii="宋体" w:hAnsi="宋体" w:eastAsia="宋体" w:cs="Times New Roman"/>
          <w:sz w:val="24"/>
          <w:szCs w:val="24"/>
        </w:rPr>
        <w:t>②采购人将按照投标文件以及政府采购合同规定的技术、服务、安全标准组织对中标履约情况进行</w:t>
      </w:r>
      <w:r>
        <w:rPr>
          <w:rFonts w:hint="eastAsia" w:ascii="宋体" w:hAnsi="宋体" w:eastAsia="宋体" w:cs="宋体"/>
          <w:sz w:val="24"/>
          <w:szCs w:val="24"/>
        </w:rPr>
        <w:t>验收。</w:t>
      </w:r>
      <w:r>
        <w:rPr>
          <w:rFonts w:hint="eastAsia" w:ascii="宋体" w:hAnsi="宋体" w:eastAsia="宋体" w:cs="Times New Roman"/>
          <w:sz w:val="24"/>
          <w:szCs w:val="24"/>
        </w:rPr>
        <w:t>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同时没收中标人缴纳的履约保证金用于赔偿采购人所受的损失。</w:t>
      </w:r>
    </w:p>
    <w:p>
      <w:pPr>
        <w:spacing w:line="276" w:lineRule="auto"/>
        <w:jc w:val="left"/>
        <w:rPr>
          <w:rFonts w:ascii="宋体" w:hAnsi="宋体" w:eastAsia="宋体" w:cs="宋体"/>
          <w:sz w:val="24"/>
          <w:szCs w:val="24"/>
        </w:rPr>
      </w:pPr>
      <w:r>
        <w:rPr>
          <w:rFonts w:hint="eastAsia" w:ascii="宋体" w:hAnsi="宋体" w:eastAsia="宋体" w:cs="宋体"/>
          <w:sz w:val="24"/>
          <w:szCs w:val="24"/>
        </w:rPr>
        <w:t>③</w:t>
      </w:r>
      <w:r>
        <w:rPr>
          <w:rFonts w:hint="eastAsia" w:ascii="宋体" w:hAnsi="宋体" w:eastAsia="宋体" w:cs="Times New Roman"/>
          <w:sz w:val="24"/>
          <w:szCs w:val="24"/>
        </w:rPr>
        <w:t>设备安装、调试结束后中标人负责并会同采购人按10.1款验收标准进行联合验收。需有采购人的设备安装验收报告单、且必须经采购人设备使用科室人员在验收报告单上签字即为验收完成。保修期从采购人设备安装验收报告单签署时间算起。</w:t>
      </w:r>
    </w:p>
    <w:p>
      <w:pPr>
        <w:spacing w:line="276" w:lineRule="auto"/>
        <w:jc w:val="left"/>
        <w:rPr>
          <w:rFonts w:ascii="宋体" w:hAnsi="宋体" w:eastAsia="宋体" w:cs="宋体"/>
          <w:sz w:val="24"/>
          <w:szCs w:val="24"/>
        </w:rPr>
      </w:pPr>
      <w:r>
        <w:rPr>
          <w:rFonts w:hint="eastAsia" w:ascii="宋体" w:hAnsi="宋体" w:eastAsia="宋体" w:cs="Times New Roman"/>
          <w:sz w:val="24"/>
          <w:szCs w:val="24"/>
        </w:rPr>
        <w:t>10.2.6设备到货、安装调试合格后，中标人须全程配合采购人在15日内开展验收测试，所有指标均须符合要求，若因中标人原因导致验收逾期，采购人有权要求中标人退货、全额退还货款，同时没收中标人缴纳的履约保证金用于赔偿采购人所受的损失并承担相应法律责任，不得推诿。</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11、技术培训及技术资料要求</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11.1技术培训：中标人应结合货物安装、调试等阶段，派经原厂培训的工程师持证上门安装，同步地免费对采购人的技术人员就有关系统安装、维护、操作使用等方面进行现场技术培训，使受训人员能熟练掌握所有的安装测试和维护方法以及操作命令的使用。</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11.2技术资料：中标人应向采购人提供至少包含以下列明的中文(或英文)技术资料，在设备供货时同时提供；并提供货物相关的证明文件或资料，其费用应包括在报价内。应提供的技术资料如下：</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1)出厂明细表(装箱单)；</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2)出厂检验报告、合格证书；</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3)安装手册；操作手册(中文)；维修手册；</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4)使用说明书；</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5)设备安装、调试、维修线路原理图等安装调试资料；</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6)提供原产地制造商的产品证明；</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7)合同中要求的其它文件资料。</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12、质保期和质保服务要求</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12.1质保要求：</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整机质保期≥3年，终身免费提供软件升级。免费质量保修期自验收合格签名之日起计算。在免费质量保修期内出现故障，则免费质量保修期应从修复后顺延同等时间。中标人在接到采购人故障通知后2小时内响应，24小时内到达现场维修并及时填写维修报告（包括故障原因、处理情况及采购人意见等）报采购人备案。在免费质量保修期内，所有服务及零部件全部免费并定期回访，出现质量问题时，常规故障48小时内排除。免费质量保修期过后，为仪器提供免费终身维修服务，只收配件费，并在2小时内响应，一般情况下在24小时内到场维修。</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12.2质保期满前1个月内中标人应负责对设备进行一次免费全面检查，如发现潜在问题，应负责排除，保证设备正常运行。</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12.3质保期结束后，中标人应在设备使用地区委托有维修能力的代  理机构对设备在必要时进行定期维护和修理，可合理收取维修成本费，更换配件时只能收配件成本费。</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13、专用工具、特殊工具与配品配件。</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13.1专用工具：中标人应向采购人提供一套维修所需的专用工具及清单。</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13.2特殊工具：中标人应向采购人提供安装和维修所需的特殊专用工具及清单(如果有的话)并在投标文件中提供，其费用包括在投标总价中。</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13.3备品备件：中标人应提供设备在质量保证期内所需的备品备件(如果有的话)，其费用含在投标总价中。</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14、违约责任</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14.1因中标人原因造成采购合同无法按时签订，视为中标人违约，中标人违约对采购人造成的损失的，需支付</w:t>
      </w:r>
      <w:r>
        <w:rPr>
          <w:rFonts w:ascii="宋体" w:hAnsi="宋体" w:eastAsia="宋体" w:cs="宋体"/>
          <w:kern w:val="0"/>
          <w:sz w:val="24"/>
          <w:szCs w:val="24"/>
        </w:rPr>
        <w:t>合同总金额10%违约金。</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14.2</w:t>
      </w:r>
      <w:r>
        <w:rPr>
          <w:rFonts w:ascii="宋体" w:hAnsi="宋体" w:eastAsia="宋体" w:cs="宋体"/>
          <w:kern w:val="0"/>
          <w:sz w:val="24"/>
          <w:szCs w:val="24"/>
        </w:rPr>
        <w:t>中标人未经采购人同意单方面终止合同的，中标人除了应向采购人赔偿因合同终止导致的损失外，还应向采购人偿付该合同款总额30%的违约金。</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14.3因中标人原因发生重大质量事故，除依约承担赔偿责任外，还将按有关质量管理办法规定执行。同时，采购人有权保留更换中标人的权利，并报相关行政主管部门处罚。</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14.5中标人的验收结果不符合招标文件和合同要求的，采购人有权单方解除合同，同时中标人应向采购人赔偿该合同款总额30%的违约金。</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14.6中标人不能按时交付货物和服务的，采购人有权单方解除本合同，中标人除了应退还已收取的全部合同款外，同时中标人应向采购人偿付该合同款总额30%的违约金。</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14.7因中标人违约对采购人造成损失的赔偿金及合同约定的违约金均可由采购人从未支付的合同款或履约保证金中扣除。</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14.8因采购人原因导致中标人未能按合同约定履行的，中标人可免于承担违约责任。</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14.9在明确违约责任后，中标人应在接到书面通知书起七天内支付违约金、赔偿金等。</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15、知识产权</w:t>
      </w:r>
    </w:p>
    <w:p>
      <w:pPr>
        <w:widowControl/>
        <w:spacing w:line="276" w:lineRule="auto"/>
        <w:jc w:val="left"/>
        <w:rPr>
          <w:rFonts w:ascii="宋体" w:hAnsi="宋体" w:eastAsia="宋体" w:cs="宋体"/>
          <w:kern w:val="0"/>
          <w:sz w:val="24"/>
          <w:szCs w:val="24"/>
        </w:rPr>
      </w:pPr>
      <w:r>
        <w:rPr>
          <w:rFonts w:hint="eastAsia" w:ascii="宋体" w:hAnsi="宋体" w:eastAsia="宋体" w:cs="宋体"/>
          <w:kern w:val="0"/>
          <w:sz w:val="24"/>
          <w:szCs w:val="24"/>
        </w:rPr>
        <w:t>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w:t>
      </w:r>
    </w:p>
    <w:p>
      <w:pPr>
        <w:widowControl/>
        <w:shd w:val="clear" w:color="auto" w:fill="FFFFFF"/>
        <w:spacing w:line="276" w:lineRule="auto"/>
        <w:jc w:val="left"/>
        <w:rPr>
          <w:rFonts w:ascii="宋体" w:hAnsi="宋体" w:eastAsia="宋体" w:cs="Noto Sans"/>
          <w:kern w:val="0"/>
          <w:sz w:val="24"/>
          <w:szCs w:val="24"/>
        </w:rPr>
      </w:pPr>
      <w:r>
        <w:rPr>
          <w:rFonts w:hint="eastAsia" w:ascii="宋体" w:hAnsi="宋体" w:eastAsia="宋体" w:cs="宋体"/>
          <w:sz w:val="24"/>
          <w:szCs w:val="24"/>
        </w:rPr>
        <w:t>16、本招标文件中所涉及的一切费用均应包含在投标总价中。对于本招标文件未列明，但属于合同履行过程中可能发生的一切费用(包含但不限于货物制造、包装、人工费、拆除费用、改造费用、安装调试费、运输、装卸、辅助材料费、机械费、技术服务费、检验检测费、培训、废物清理、保管费、保险、税金、验收费用、保修、软件升级(如有)等)也应包含在投标总价中，采购人不再另行支付。本项目实施过程中拆除、更换或淘汰的原有设备、配件及附属设施，其所有权归采购人所有。中标人应妥善保管并移交，不得擅自处置、变卖或销毁。</w:t>
      </w:r>
    </w:p>
    <w:p>
      <w:pPr>
        <w:widowControl/>
        <w:shd w:val="clear" w:color="auto" w:fill="FFFFFF"/>
        <w:wordWrap w:val="0"/>
        <w:ind w:firstLine="480" w:firstLineChars="200"/>
        <w:jc w:val="left"/>
        <w:rPr>
          <w:rFonts w:ascii="宋体" w:hAnsi="宋体" w:eastAsia="宋体" w:cs="Noto Sans"/>
          <w:kern w:val="0"/>
          <w:sz w:val="24"/>
          <w:szCs w:val="24"/>
        </w:rPr>
      </w:pPr>
    </w:p>
    <w:p>
      <w:pPr>
        <w:widowControl/>
        <w:shd w:val="clear" w:color="auto" w:fill="FFFFFF"/>
        <w:ind w:firstLine="480" w:firstLineChars="200"/>
        <w:outlineLvl w:val="2"/>
        <w:rPr>
          <w:rFonts w:ascii="宋体" w:hAnsi="宋体" w:eastAsia="宋体" w:cs="Noto Sans"/>
          <w:kern w:val="0"/>
          <w:sz w:val="24"/>
          <w:szCs w:val="27"/>
        </w:rPr>
      </w:pPr>
      <w:r>
        <w:rPr>
          <w:rFonts w:ascii="宋体" w:hAnsi="宋体" w:eastAsia="宋体" w:cs="Noto Sans"/>
          <w:kern w:val="0"/>
          <w:sz w:val="24"/>
          <w:szCs w:val="27"/>
        </w:rPr>
        <w:t>四、其他事项</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1、除招标文件另有规定外，若出现有关法律、法规和规章有强制性规定但招标文件未列明的情形，则投标人应按照有关法律、法规和规章强制性规定执行。</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2、其他：</w:t>
      </w:r>
    </w:p>
    <w:p>
      <w:pPr>
        <w:widowControl/>
        <w:shd w:val="clear" w:color="auto" w:fill="FFFFFF"/>
        <w:wordWrap w:val="0"/>
        <w:ind w:firstLine="480" w:firstLineChars="200"/>
        <w:rPr>
          <w:rFonts w:ascii="宋体" w:hAnsi="宋体" w:eastAsia="宋体" w:cs="Noto Sans"/>
          <w:kern w:val="0"/>
          <w:sz w:val="24"/>
          <w:szCs w:val="24"/>
        </w:rPr>
      </w:pPr>
      <w:r>
        <w:rPr>
          <w:rFonts w:ascii="宋体" w:hAnsi="宋体" w:eastAsia="宋体" w:cs="Noto Sans"/>
          <w:kern w:val="0"/>
          <w:sz w:val="24"/>
          <w:szCs w:val="24"/>
        </w:rPr>
        <w:t>无。</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1"/>
        <w:rPr>
          <w:rFonts w:ascii="宋体" w:hAnsi="宋体" w:eastAsia="宋体" w:cs="Noto Sans"/>
          <w:b/>
          <w:kern w:val="0"/>
          <w:sz w:val="24"/>
          <w:szCs w:val="39"/>
        </w:rPr>
      </w:pPr>
      <w:r>
        <w:rPr>
          <w:rFonts w:ascii="宋体" w:hAnsi="宋体" w:eastAsia="宋体" w:cs="Noto Sans"/>
          <w:kern w:val="0"/>
          <w:sz w:val="36"/>
          <w:szCs w:val="39"/>
        </w:rPr>
        <w:br w:type="page"/>
      </w:r>
      <w:r>
        <w:rPr>
          <w:rFonts w:ascii="宋体" w:hAnsi="宋体" w:eastAsia="宋体" w:cs="Noto Sans"/>
          <w:b/>
          <w:kern w:val="0"/>
          <w:sz w:val="36"/>
          <w:szCs w:val="39"/>
        </w:rPr>
        <w:t>第六章 政府采购合同</w:t>
      </w:r>
    </w:p>
    <w:p>
      <w:pPr>
        <w:widowControl/>
        <w:shd w:val="clear" w:color="auto" w:fill="FFFFFF"/>
        <w:ind w:firstLine="480" w:firstLineChars="200"/>
        <w:jc w:val="center"/>
        <w:outlineLvl w:val="2"/>
        <w:rPr>
          <w:rFonts w:ascii="宋体" w:hAnsi="宋体" w:eastAsia="宋体" w:cs="Noto Sans"/>
          <w:kern w:val="0"/>
          <w:sz w:val="24"/>
          <w:szCs w:val="27"/>
        </w:rPr>
      </w:pPr>
      <w:r>
        <w:rPr>
          <w:rFonts w:ascii="宋体" w:hAnsi="宋体" w:eastAsia="宋体" w:cs="Noto Sans"/>
          <w:kern w:val="0"/>
          <w:sz w:val="24"/>
          <w:szCs w:val="27"/>
        </w:rPr>
        <w:t>参考文本</w:t>
      </w:r>
    </w:p>
    <w:p>
      <w:pPr>
        <w:widowControl/>
        <w:shd w:val="clear" w:color="auto" w:fill="FFFFFF"/>
        <w:wordWrap w:val="0"/>
        <w:ind w:firstLine="482" w:firstLineChars="200"/>
        <w:jc w:val="center"/>
        <w:outlineLvl w:val="0"/>
        <w:rPr>
          <w:rFonts w:ascii="宋体" w:hAnsi="宋体" w:eastAsia="宋体" w:cs="Noto Sans"/>
          <w:b/>
          <w:bCs/>
          <w:kern w:val="36"/>
          <w:sz w:val="24"/>
          <w:szCs w:val="48"/>
        </w:rPr>
      </w:pPr>
      <w:r>
        <w:rPr>
          <w:rFonts w:hint="eastAsia" w:ascii="宋体" w:hAnsi="宋体" w:eastAsia="宋体" w:cs="Noto Sans"/>
          <w:b/>
          <w:bCs/>
          <w:kern w:val="36"/>
          <w:sz w:val="24"/>
          <w:szCs w:val="48"/>
        </w:rPr>
        <w:t>政府采购货物买卖合同</w:t>
      </w:r>
    </w:p>
    <w:p>
      <w:pPr>
        <w:widowControl/>
        <w:shd w:val="clear" w:color="auto" w:fill="FFFFFF"/>
        <w:wordWrap w:val="0"/>
        <w:ind w:firstLine="482" w:firstLineChars="200"/>
        <w:jc w:val="center"/>
        <w:outlineLvl w:val="0"/>
        <w:rPr>
          <w:rFonts w:ascii="宋体" w:hAnsi="宋体" w:eastAsia="宋体" w:cs="Noto Sans"/>
          <w:b/>
          <w:bCs/>
          <w:kern w:val="36"/>
          <w:sz w:val="24"/>
          <w:szCs w:val="48"/>
        </w:rPr>
      </w:pPr>
      <w:r>
        <w:rPr>
          <w:rFonts w:hint="eastAsia" w:ascii="宋体" w:hAnsi="宋体" w:eastAsia="宋体" w:cs="Noto Sans"/>
          <w:b/>
          <w:bCs/>
          <w:kern w:val="36"/>
          <w:sz w:val="24"/>
          <w:szCs w:val="48"/>
        </w:rPr>
        <w:t>（试行）</w:t>
      </w:r>
    </w:p>
    <w:p>
      <w:pPr>
        <w:widowControl/>
        <w:shd w:val="clear" w:color="auto" w:fill="FFFFFF"/>
        <w:wordWrap w:val="0"/>
        <w:ind w:firstLine="482" w:firstLineChars="200"/>
        <w:rPr>
          <w:rFonts w:ascii="宋体" w:hAnsi="宋体" w:eastAsia="宋体" w:cs="Noto Sans"/>
          <w:b/>
          <w:bCs/>
          <w:kern w:val="0"/>
          <w:sz w:val="24"/>
          <w:szCs w:val="32"/>
        </w:rPr>
      </w:pPr>
      <w:r>
        <w:rPr>
          <w:rFonts w:hint="eastAsia" w:ascii="宋体" w:hAnsi="宋体" w:eastAsia="宋体" w:cs="Noto Sans"/>
          <w:b/>
          <w:bCs/>
          <w:kern w:val="0"/>
          <w:sz w:val="24"/>
          <w:szCs w:val="32"/>
        </w:rPr>
        <w:t>项目名称： </w:t>
      </w:r>
      <w:r>
        <w:rPr>
          <w:rFonts w:hint="eastAsia" w:ascii="宋体" w:hAnsi="宋体" w:eastAsia="宋体" w:cs="Noto Sans"/>
          <w:b/>
          <w:bCs/>
          <w:kern w:val="0"/>
          <w:sz w:val="24"/>
          <w:szCs w:val="24"/>
        </w:rPr>
        <w:t>__________________________</w:t>
      </w:r>
    </w:p>
    <w:p>
      <w:pPr>
        <w:widowControl/>
        <w:shd w:val="clear" w:color="auto" w:fill="FFFFFF"/>
        <w:wordWrap w:val="0"/>
        <w:ind w:firstLine="482" w:firstLineChars="200"/>
        <w:rPr>
          <w:rFonts w:ascii="宋体" w:hAnsi="宋体" w:eastAsia="宋体" w:cs="Noto Sans"/>
          <w:b/>
          <w:bCs/>
          <w:kern w:val="0"/>
          <w:sz w:val="24"/>
          <w:szCs w:val="32"/>
        </w:rPr>
      </w:pPr>
      <w:r>
        <w:rPr>
          <w:rFonts w:hint="eastAsia" w:ascii="宋体" w:hAnsi="宋体" w:eastAsia="宋体" w:cs="Noto Sans"/>
          <w:b/>
          <w:bCs/>
          <w:kern w:val="0"/>
          <w:sz w:val="24"/>
          <w:szCs w:val="32"/>
        </w:rPr>
        <w:t>合同编号：</w:t>
      </w:r>
      <w:r>
        <w:rPr>
          <w:rFonts w:hint="eastAsia" w:ascii="宋体" w:hAnsi="宋体" w:eastAsia="宋体" w:cs="Noto Sans"/>
          <w:b/>
          <w:bCs/>
          <w:kern w:val="0"/>
          <w:sz w:val="24"/>
          <w:szCs w:val="24"/>
        </w:rPr>
        <w:t> __________________________</w:t>
      </w:r>
    </w:p>
    <w:p>
      <w:pPr>
        <w:widowControl/>
        <w:shd w:val="clear" w:color="auto" w:fill="FFFFFF"/>
        <w:wordWrap w:val="0"/>
        <w:ind w:firstLine="482" w:firstLineChars="200"/>
        <w:rPr>
          <w:rFonts w:ascii="宋体" w:hAnsi="宋体" w:eastAsia="宋体" w:cs="Noto Sans"/>
          <w:b/>
          <w:bCs/>
          <w:kern w:val="0"/>
          <w:sz w:val="24"/>
          <w:szCs w:val="32"/>
        </w:rPr>
      </w:pPr>
      <w:r>
        <w:rPr>
          <w:rFonts w:hint="eastAsia" w:ascii="宋体" w:hAnsi="宋体" w:eastAsia="宋体" w:cs="Noto Sans"/>
          <w:b/>
          <w:bCs/>
          <w:kern w:val="0"/>
          <w:sz w:val="24"/>
          <w:szCs w:val="32"/>
        </w:rPr>
        <w:t>甲   方： </w:t>
      </w:r>
      <w:r>
        <w:rPr>
          <w:rFonts w:hint="eastAsia" w:ascii="宋体" w:hAnsi="宋体" w:eastAsia="宋体" w:cs="Noto Sans"/>
          <w:b/>
          <w:bCs/>
          <w:kern w:val="0"/>
          <w:sz w:val="24"/>
          <w:szCs w:val="24"/>
        </w:rPr>
        <w:t>__________________________</w:t>
      </w:r>
    </w:p>
    <w:p>
      <w:pPr>
        <w:widowControl/>
        <w:shd w:val="clear" w:color="auto" w:fill="FFFFFF"/>
        <w:wordWrap w:val="0"/>
        <w:ind w:firstLine="482" w:firstLineChars="200"/>
        <w:rPr>
          <w:rFonts w:ascii="宋体" w:hAnsi="宋体" w:eastAsia="宋体" w:cs="Noto Sans"/>
          <w:b/>
          <w:bCs/>
          <w:kern w:val="0"/>
          <w:sz w:val="24"/>
          <w:szCs w:val="32"/>
        </w:rPr>
      </w:pPr>
      <w:r>
        <w:rPr>
          <w:rFonts w:hint="eastAsia" w:ascii="宋体" w:hAnsi="宋体" w:eastAsia="宋体" w:cs="Noto Sans"/>
          <w:b/>
          <w:bCs/>
          <w:kern w:val="0"/>
          <w:sz w:val="24"/>
          <w:szCs w:val="32"/>
        </w:rPr>
        <w:t>乙   方：</w:t>
      </w:r>
      <w:r>
        <w:rPr>
          <w:rFonts w:hint="eastAsia" w:ascii="宋体" w:hAnsi="宋体" w:eastAsia="宋体" w:cs="Noto Sans"/>
          <w:b/>
          <w:bCs/>
          <w:kern w:val="0"/>
          <w:sz w:val="24"/>
          <w:szCs w:val="24"/>
        </w:rPr>
        <w:t>__________________________</w:t>
      </w:r>
    </w:p>
    <w:p>
      <w:pPr>
        <w:widowControl/>
        <w:shd w:val="clear" w:color="auto" w:fill="FFFFFF"/>
        <w:wordWrap w:val="0"/>
        <w:ind w:firstLine="482" w:firstLineChars="200"/>
        <w:rPr>
          <w:rFonts w:ascii="宋体" w:hAnsi="宋体" w:eastAsia="宋体" w:cs="Noto Sans"/>
          <w:b/>
          <w:bCs/>
          <w:kern w:val="0"/>
          <w:sz w:val="24"/>
          <w:szCs w:val="32"/>
        </w:rPr>
      </w:pPr>
      <w:r>
        <w:rPr>
          <w:rFonts w:hint="eastAsia" w:ascii="宋体" w:hAnsi="宋体" w:eastAsia="宋体" w:cs="Noto Sans"/>
          <w:b/>
          <w:bCs/>
          <w:kern w:val="0"/>
          <w:sz w:val="24"/>
          <w:szCs w:val="32"/>
        </w:rPr>
        <w:t>签订时间：__________________________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w:t>
      </w:r>
    </w:p>
    <w:p>
      <w:pPr>
        <w:widowControl/>
        <w:shd w:val="clear" w:color="auto" w:fill="FFFFFF"/>
        <w:wordWrap w:val="0"/>
        <w:ind w:firstLine="482" w:firstLineChars="200"/>
        <w:jc w:val="center"/>
        <w:outlineLvl w:val="1"/>
        <w:rPr>
          <w:rFonts w:ascii="宋体" w:hAnsi="宋体" w:eastAsia="宋体" w:cs="Noto Sans"/>
          <w:b/>
          <w:bCs/>
          <w:kern w:val="0"/>
          <w:sz w:val="24"/>
          <w:szCs w:val="36"/>
        </w:rPr>
      </w:pPr>
      <w:r>
        <w:rPr>
          <w:rFonts w:hint="eastAsia" w:ascii="宋体" w:hAnsi="宋体" w:eastAsia="宋体" w:cs="Noto Sans"/>
          <w:b/>
          <w:bCs/>
          <w:kern w:val="0"/>
          <w:sz w:val="24"/>
          <w:szCs w:val="36"/>
        </w:rPr>
        <w:t>使用说明</w:t>
      </w:r>
    </w:p>
    <w:p>
      <w:pPr>
        <w:widowControl/>
        <w:shd w:val="clear" w:color="auto" w:fill="FFFFFF"/>
        <w:wordWrap w:val="0"/>
        <w:ind w:firstLine="482" w:firstLineChars="200"/>
        <w:jc w:val="left"/>
        <w:outlineLvl w:val="3"/>
        <w:rPr>
          <w:rFonts w:ascii="宋体" w:hAnsi="宋体" w:eastAsia="宋体" w:cs="Noto Sans"/>
          <w:b/>
          <w:bCs/>
          <w:kern w:val="0"/>
          <w:sz w:val="24"/>
          <w:szCs w:val="24"/>
        </w:rPr>
      </w:pPr>
      <w:r>
        <w:rPr>
          <w:rFonts w:hint="eastAsia" w:ascii="宋体" w:hAnsi="宋体" w:eastAsia="宋体" w:cs="Noto Sans"/>
          <w:b/>
          <w:bCs/>
          <w:kern w:val="0"/>
          <w:sz w:val="24"/>
          <w:szCs w:val="24"/>
        </w:rPr>
        <w:t>1.本合同标准文本适用于购买现成货物的采购项目，不包括需要供应商定制开发、创新研发的货物采购项目。</w:t>
      </w:r>
    </w:p>
    <w:p>
      <w:pPr>
        <w:widowControl/>
        <w:shd w:val="clear" w:color="auto" w:fill="FFFFFF"/>
        <w:wordWrap w:val="0"/>
        <w:ind w:firstLine="482" w:firstLineChars="200"/>
        <w:jc w:val="left"/>
        <w:outlineLvl w:val="3"/>
        <w:rPr>
          <w:rFonts w:ascii="宋体" w:hAnsi="宋体" w:eastAsia="宋体" w:cs="Noto Sans"/>
          <w:b/>
          <w:bCs/>
          <w:kern w:val="0"/>
          <w:sz w:val="24"/>
          <w:szCs w:val="24"/>
        </w:rPr>
      </w:pPr>
      <w:r>
        <w:rPr>
          <w:rFonts w:hint="eastAsia" w:ascii="宋体" w:hAnsi="宋体" w:eastAsia="宋体" w:cs="Noto Sans"/>
          <w:b/>
          <w:bCs/>
          <w:kern w:val="0"/>
          <w:sz w:val="24"/>
          <w:szCs w:val="24"/>
        </w:rPr>
        <w:t>2.本合同标准文本为政府采购货物买卖合同编制提供参考，可以结合采购项目具体情况，对文本作必要的调整修订后使用。</w:t>
      </w:r>
    </w:p>
    <w:p>
      <w:pPr>
        <w:widowControl/>
        <w:shd w:val="clear" w:color="auto" w:fill="FFFFFF"/>
        <w:wordWrap w:val="0"/>
        <w:ind w:firstLine="482" w:firstLineChars="200"/>
        <w:jc w:val="left"/>
        <w:outlineLvl w:val="3"/>
        <w:rPr>
          <w:rFonts w:ascii="宋体" w:hAnsi="宋体" w:eastAsia="宋体" w:cs="Noto Sans"/>
          <w:b/>
          <w:bCs/>
          <w:kern w:val="0"/>
          <w:sz w:val="24"/>
          <w:szCs w:val="24"/>
        </w:rPr>
      </w:pPr>
      <w:r>
        <w:rPr>
          <w:rFonts w:hint="eastAsia" w:ascii="宋体" w:hAnsi="宋体" w:eastAsia="宋体" w:cs="Noto Sans"/>
          <w:b/>
          <w:bCs/>
          <w:kern w:val="0"/>
          <w:sz w:val="24"/>
          <w:szCs w:val="24"/>
        </w:rPr>
        <w:t>3.本合同标准文本各条款中，如涉及填写多家供应商、制造商，多种采购标的、分包主要内容等信息的，可根据采购项目具体情况添加信息项。</w:t>
      </w:r>
    </w:p>
    <w:p>
      <w:pPr>
        <w:widowControl/>
        <w:shd w:val="clear" w:color="auto" w:fill="FFFFFF"/>
        <w:wordWrap w:val="0"/>
        <w:ind w:firstLine="482" w:firstLineChars="200"/>
        <w:jc w:val="center"/>
        <w:outlineLvl w:val="1"/>
        <w:rPr>
          <w:rFonts w:ascii="宋体" w:hAnsi="宋体" w:eastAsia="宋体" w:cs="Noto Sans"/>
          <w:b/>
          <w:bCs/>
          <w:kern w:val="0"/>
          <w:sz w:val="24"/>
          <w:szCs w:val="36"/>
        </w:rPr>
      </w:pPr>
      <w:r>
        <w:rPr>
          <w:rFonts w:hint="eastAsia" w:ascii="宋体" w:hAnsi="宋体" w:eastAsia="宋体" w:cs="Noto Sans"/>
          <w:b/>
          <w:bCs/>
          <w:kern w:val="0"/>
          <w:sz w:val="24"/>
          <w:szCs w:val="36"/>
        </w:rPr>
        <w:t>第一节 政府采购合同协议书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甲方（全称）：___________________________（采购人、受采购人委托签订合同的单位或采购文件约定的合同甲方）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乙方1（全称）：___________________________（供应商）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乙方2（全称）：___________________________（联合体成员供应商或其他合同主体）（如有）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乙方3（全称）：___________________________（联合体成员供应商或其他合同主体）（如有）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1.项目信息</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(1)采购项目名称：___________________________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采购项目编号：____________________________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(2)采购计划编号：___________________________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(3)项目内容：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采购标的及数量（台/套/个/架/组等）：___________________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品牌： ___________________ 规格型号：___________________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采购标的的技术要求、商务要求具体见附件。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①涉及信息类产品，请填写该产品关键部件的品牌、型号：</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标的名称： 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关键部件： ___________________ 品牌：___________________ 型号： 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关键部件： ___________________ 品牌：___________________ 型号： 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关键部件： ___________________ 品牌：___________________ 型号： 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（注：关键部件是指财政部会同有关部门发布的政府采购需求标准规定的需要通过国家有关部门指定的测评机构开展的安全可靠测评的软硬件，如CPU芯片、操作系统、数据库等。）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②涉及车辆采购，请填写是否属于新能源汽车：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是，《政府采购品目分类目录》底级品目名称：__________  数量：__________  金额：__________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(4)政府采购组织形式：政府集中采购 部门集中采购 分散采购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(5)政府采购方式：公开招标 邀请招标 竞争性谈判 竞争性磋商询价 单一来源 框架协议 其他：____________________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(6)中标（成交）采购标的制造商是否为中小企业：是否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本合同是否为专门面向中小企业的采购合同（中小企业预留合同）：是否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若本项目不专门面向中小企业采购，是否给予小微企业评审优惠：是否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中标（成交）采购标的制造商是否为残疾人福利性单位：是否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中标（成交）采购标的制造商是否为监狱企业：是否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(7)合同是否分包：是否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分包主要内容：________________________________________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分包供应商/制造商名称（如供应商和制造商不同，请分别填写）：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________________________________________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分包供应商/制造商类型（如果供应商和制造商不同，只填写制造商类型）：</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大型企业中型企业小微型企业</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残疾人福利性单位监狱企业其他</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(8)中标（成交）供应商是否为外商投资企业：是否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外商投资企业类型：全部由外国投资者投资部分由外国投资者投资</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（9）是否涉及进口产品：</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是，《政府采购品目分类目录》底级品目名称：__________  金额：__________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国别：__________  品牌：__________  规格型号__________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（10）是否涉及节能产品：</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是，《节能产品政府采购品目清单》的底级品目名称：__________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强制采购          优先采购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是否涉及环境标志产品：</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是，《环境标志产品政府采购品目清单》的底级品目名称：__________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强制采购          优先采购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是否涉及绿色产品：</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是，绿色产品政府采购相关政策确定的底级品目名称：__________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强制采购          优先采购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(11)涉及商品包装和快递包装的，是否参考《商品包装政府采购需求标准（试行）》、《快递包装政府采购需求标准（试行）》明确产品及相关快递服务的具体包装要求：</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         否        不涉及</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2.合同金额</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（1）合同金额小写：____________________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大写：____________________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分包金额（如有）小写：____________________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大写：____________________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（注：固定单价合同应填写单价和最高限价）</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（2）合同定价方式（采用组合定价方式的，可以勾选多项）：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固定总价固定单价成本补偿绩效激励其他__________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（3）付款方式（按项目实际勾选填写）：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全额付款：_______（应明确一次性支付合同款项的条件）_____________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分期付款：_______（应明确分期支付合同款项的各期比例和支付条件，各期支付条件应与分期履约验收情况挂钩）_____________，其中涉及预付款的：_______ （应明确预付款的支付比例和支付条件）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成本补偿：_______（应明确按照成本补偿方式的支付方式和支付条件）___________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绩效激励：_______（应明确按照绩效激励方式的支付方式和支付条件）_________</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3.合同履行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（1）起始日期：____________________年____________________月 ____________________日 ，完成日期：____________________年____________________月____________________日。</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（2）履约地点：____________________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（3）履约担保：</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是否收取履约保证金：是 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收取履约保证金形式：____________________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收取履约保证金金额：____________________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履约担保期限：____________________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履约担保期限：____________________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（4）分期履行要求：____________________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（5）风险处置措施和替代方案：____________________</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4.合同验收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（1）验收组织方式：自行验收委托第三方验收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验收主体：____________________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是否邀请本项目的其他供应商参加验收：是否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是否邀请专家参加验收：是否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是否邀请服务对象参加验收：是否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是否邀请第三方检测机构参加验收：是否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是否进行抽查检测： 是，抽查比例：__________%否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是否存在破坏性检测： 是，__________ 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验收组织的其他事项：____________________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（2）履约验收时间：计划于何时验收/供应商提出验收申请之日起_______日内组织验收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（3）履约验收方式：一次性验收分期/分项验收：__________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（4）履约验收程序：____________________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（5）履约验收的内容：_________（应当包括每一项技术和商务要求的履约情况，特别是落实政府采购扶持中小企业，支持绿色发展和乡村振兴等政策情况）___________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（6）履约验收标准：_____________________________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（7）是否以采购活动中供应商提供的样品作为参考：是否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（8）履约验收其他事项：_______________</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5.组成合同的文件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本协议书与下列文件一起构成合同文件，如下述文件之间有任何抵触、矛盾或歧义，应按以下顺序解释：</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（1）政府采购合同协议书及其变更、补充协议</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（2）政府采购合同专用条款</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（3）政府采购合同通用条款</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（4）中标（成交）通知书</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（5）投标（响应）文件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（6）采购文件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（7）有关技术文件，图纸</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（8）国家法律、行政法规和规章制度规定或合同约定的作为合同组成部分的其他文件</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6.合同生效</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本合同自____________________生效。</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7.合同份数</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本合同一式 _______ 份，甲方执 _______ 份，乙方执 _______ 份，均具有 法律效力。</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8.合同融资支付约定</w:t>
      </w:r>
    </w:p>
    <w:p>
      <w:pPr>
        <w:widowControl/>
        <w:shd w:val="clear" w:color="auto" w:fill="FFFFFF"/>
        <w:wordWrap w:val="0"/>
        <w:ind w:firstLine="482" w:firstLineChars="200"/>
        <w:rPr>
          <w:rFonts w:ascii="宋体" w:hAnsi="宋体" w:eastAsia="宋体" w:cs="Noto Sans"/>
          <w:kern w:val="0"/>
          <w:sz w:val="24"/>
          <w:szCs w:val="24"/>
        </w:rPr>
      </w:pPr>
      <w:r>
        <w:rPr>
          <w:rFonts w:hint="eastAsia" w:ascii="宋体" w:hAnsi="宋体" w:eastAsia="宋体" w:cs="Noto Sans"/>
          <w:b/>
          <w:bCs/>
          <w:kern w:val="0"/>
          <w:sz w:val="24"/>
          <w:szCs w:val="24"/>
        </w:rPr>
        <w:t>8.1本合同已用于政府采购合同融资，为本项目提供合同融资的金融机构为：______，本合同项下所有款项，甲方须支付至本合同约定的乙方账号，未经_______书面同意，不得变更账号。</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合同订立时间：详见本合同封面的签订时间。</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合同订立时间：详见本合同封面的签订时间。</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合同订立地点： ____________________________</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附件：具体标的及其技术要求和商务要求、联合协议、分包意向协议等。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br w:type="textWrapping"/>
      </w:r>
      <w:r>
        <w:rPr>
          <w:rFonts w:hint="eastAsia" w:ascii="宋体" w:hAnsi="宋体" w:eastAsia="宋体" w:cs="Noto Sans"/>
          <w:kern w:val="0"/>
          <w:sz w:val="24"/>
          <w:szCs w:val="24"/>
        </w:rPr>
        <w:br w:type="textWrapping"/>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甲方（采购人、受采购人委托签订合同的单位或采购文件约定的合同甲方）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单位名称（公章或合同章）： {{未填写}}（盖章）</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法定代表人或其委托代理人（签章）：{{未填写}}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住 所：{{未填写}}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联 系 人：{{未填写}}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联系电话：{{未填写}}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通信地址：{{未填写}}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邮政编码：{{未填写}}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电子邮箱：{{未填写}}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统一社会信用代码：{{未填写}}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 </w:t>
      </w:r>
    </w:p>
    <w:p>
      <w:pPr>
        <w:widowControl/>
        <w:shd w:val="clear" w:color="auto" w:fill="FFFFFF"/>
        <w:wordWrap w:val="0"/>
        <w:ind w:firstLine="482" w:firstLineChars="200"/>
        <w:jc w:val="center"/>
        <w:outlineLvl w:val="1"/>
        <w:rPr>
          <w:rFonts w:ascii="宋体" w:hAnsi="宋体" w:eastAsia="宋体" w:cs="Noto Sans"/>
          <w:b/>
          <w:bCs/>
          <w:kern w:val="0"/>
          <w:sz w:val="24"/>
          <w:szCs w:val="36"/>
        </w:rPr>
      </w:pPr>
      <w:r>
        <w:rPr>
          <w:rFonts w:hint="eastAsia" w:ascii="宋体" w:hAnsi="宋体" w:eastAsia="宋体" w:cs="Noto Sans"/>
          <w:b/>
          <w:bCs/>
          <w:kern w:val="0"/>
          <w:sz w:val="24"/>
          <w:szCs w:val="36"/>
        </w:rPr>
        <w:t>第二节 政府采购合同通用条款</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 定义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1.1合同当事人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（1）采购人（以下称甲方）是指使用财政性资金，通过政府采购方式向供应商购买货物及其相关服务的国家机关、事业单位、团体组织。</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（2）供应商（以下称乙方）是指参加政府采购活动并且中标（成交），向采购人提供合同约定的货物及其相关服务的法人、非法人组织或者自然人。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（3）其他合同主体是指除采购人和供应商以外，依法参与合同缔结或履行，享有权利、承担义务的合同当事人。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1.2本合同下列术语应解释为：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（2）“合同价款”系指根据本合同规定乙方在全面履行合同义务后甲方应支付给乙方的价款。</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（3）“货物”系指乙方根据本合同规定须向甲方提供的各种形态和种类的物品，包括原材料、设备、产品（包括软件）及相关的其备品备件、工具、手册及其他技术资料和材料等。</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（5）“分包”系指中标（成交）供应商按采购文件、投标（响应）文件的规定，根据分包意向协议，将中标（成交）项目中的部分履约内容，分给具有相应资质条件的供应商履行合同的行为。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政府采购合同专用条款】。</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（7）其他术语解释，见【政府采购合同专用条款】。</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2.合同标的及金额</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2.1 合同标的及金额应与中标（成交）结果一致。乙方为履行本合同而发生的所有费用均应包含在合同价款中，甲方不再另行支付其他任何费用。</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3. 履行合同的时间、地点和方式</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3.1 乙方应当在约定的时间、地点，按照约定方式履行合同。</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4. 甲方的权利和义务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4.2 甲方有权要求乙方按时提交各阶段有关安排计划，并有权定期核对乙方提供货物数量、规格、质量等内容。甲方有权督促乙方工作并要求乙方更换不符合要求的货物。</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4.3 甲方有权要求乙方对缺陷部分予以修复，并按合同约定享有货物保修及其他合同约定的权利。</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4.4 甲方应当按照合同约定及时对交付的货物进行验收，未在【政府采购合同专用条款】约定的期限内对乙方履约提出任何异议或者向乙方作出任何说明的，视为验收通过。</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4.5 甲方应当根据合同约定及时向乙方支付合同价款，不得以内部人员变更、履行内部付款流程等为由，拒绝或迟延支付。</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4.6 国家法律法规规定及【政府采购合同专用条款】约定应由甲方承担的其他义务和责任。</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5. 乙方的权利和义务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5.1 签署合同后，乙方应确定项目负责人（或项目联系人），负责与本合同有关的事务。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5.3乙方有权根据合同约定向甲方收取合同价款。</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5.4国家法律法规规定及【政府采购合同专用条款】约定应由乙方承担的其他义务和责任。</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6.合同履行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6.1 甲乙双方应当按照【政府采购合同专用条款】约定顺序履行合同义务；如果没有先后顺序的，应当同时履行。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6.2 甲乙双方按照合同约定顺序履行合同义务时，应当先履行一方未履行的，后履行一方有权拒绝其履行请求。先履行一方履行不符合约定的，后履行一方有权拒绝其相应的履行请求。</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7. 货物包装、运输、保险和交付要求</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7.1 本合同涉及商品包装、快递包装的，除【政府采购合同专用条款】另有约定外，包装应适应远距离运输、防潮、防震、防锈和防野蛮装卸等要求，确保货物安全无损地运抵【政府采购合同专用条款】约定的指定现场。</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7.2 除【政府采购合同专用条款】另有约定外，乙方负责办理将货物运抵本合同规定的交货地点，并装卸、交付至甲方的一切运输事项，相关费用应包含在合同价款中。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7.3 货物保险要求按【政府采购合同专用条款】规定执行。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7.5 乙方在运输到达之前应提前通知甲方，并提示货物运输装卸的注意事项，甲方配合乙方做好货物的接收工作。</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7.6 如因包装、运输问题导致货物损毁、丢失或者品质下降，甲方有权要求降价、换货、拒收部分或整批货物，由此产生的费用和损失，均由乙方承担。</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8. 质量标准和保证</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8.1 质量标准</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（2）采用中华人民共和国法定计量单位。</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（3）乙方所提供的货物应符合国家有关安全、环保、卫生的规定。</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（4）乙方应向甲方提交所提供货物的技术文件，包括相应的中文技术文件，如：产品目录、图纸、操作手册、使用说明、维护手册或服务指南等。上述文件应包装好随货物一同发运。</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8.2 保证</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（2）在质量保证期内所发现的缺陷，甲方应尽快以书面形式通知乙方。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（3）乙方收到通知后，应在【政府采购合同专用条款】规定的响应时间内以合理的速度免费维修或更换有缺陷的货物或部件。</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（4）在质量保证期内，如果货物的质量或规格与合同不符，或证实货物是有缺陷的，包括潜在的缺陷或使用不符合要求的材料等，甲方可以根据本合同第15.1条规定以书面形式追究乙方的违约责任。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（5）乙方在约定的时间内未能弥补缺陷，甲方可采取必要的补救措施，但其风险和费用将由乙方承担，甲方根据合同约定对乙方行使的其他权利不受影响。</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9. 权利瑕疵担保</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9.1 乙方保证对其出售的货物享有合法的权利。</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9.2 乙方保证在交付的货物上不存在抵押权等担保物权。</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9.3 如甲方使用上述货物构成对第三人侵权的，则由乙方承担全部责任。</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10. 知识产权保护</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11. 保密义务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政府采购合同专用条款】中约定。</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12. 合同价款支付</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12.1 合同价款支付按照国库集中支付制度及财政管理相关规定执行。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13. 履约保证金</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13.1 乙方应当以支票、汇票、本票或者金融机构、担保机构出具的保函等非现金形式提交。</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13.2 如果乙方出现【政府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13.3 甲方在项目通过验收后按照【政府采购合同专用条款】规定的时间内将履约保证金退还乙方；逾期退还的，乙方可要求甲方支付违约金，违约金按照【政府采购合同专用条款】规定支付。</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14. 售后服务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14.1 除项目不涉及或采购活动中明确约定无须承担外，乙方还应提供下列服务：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（1）货物的现场移动、安装、调试、启动监督及技术支持；</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（2）提供货物组装和维修所需的专用工具和辅助材料；</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（3）在【政府采购合同专用条款】约定的期限内对所有的货物实施运行监督、维修，但前提条件是该服务并不能免除乙方在质量保证期内所承担的义务；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（4）在制造商所在地或指定现场就货物的安装、启动、运营、维护、废弃处置等对甲方操作人员进行培训；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（5）依照法律、行政法规的规定或者按照【政府采购合同专用条款】约定，货物在有效使用年限届满后应予回收的，乙方负有自行或者委托第三人对货物予以回收的义务；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（6）【政府采购合同专用条款】规定由乙方提供的其他服务。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14.2 乙方提供的售后服务的费用已包含在合同价款中，甲方不再另行支付。</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15. 违约责任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15.1质量瑕疵的违约责任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乙方提供的产品不符合合同约定的质量标准或存在产品质量缺陷，甲方有权要求乙方根据【政府采购合同专用条款】要求及时修理、重作、更换，并承担由此给甲方造成的损失。</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15.2 迟延交货的违约责任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如果乙方没有按照合同规定的时间交货和提供相关服务，甲方有权从货款中扣除误期赔偿费而不影响合同项下的其他补救方法，赔偿费按【政府采购合同专用条款】规定执行。如果涉及公共利益，且赔偿金额无法弥补公共利益损失，甲方可要求继续履行或者采取其他补救措施。</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15.3 迟延支付的违约责任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甲方存在迟延支付乙方合同款项的，应当承担【政府采购合同专用条款】规定的逾期付款利息。</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15.4其他违约责任根据项目实际需要按【政府采购合同专用条款】规定执行。</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16.合同变更、中止与终止</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16.1合同的变更</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政府采购合同履行中，在不改变合同其他条款的前提下，甲方可以在合同价款10%的范围内追加与合同标的相同的货物，并就此与乙方协商一致后签订补充协议。</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16.2合同的中止</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（1）合同履行过程中因供应商就采购文件、采购过程或结果提起投诉的，甲方认为有必要的，可以中止合同的履行。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（3）乙方分立、合并或者变更住所的，应当及时以书面形式告知甲方。乙方没有及时告知甲方，致使合同履行发生困难的，甲方可以中止合同履行并要求乙方承担由此给甲方造成的损失。</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（4）甲方不得以行政区划调整、政府换届、机构或者职能调整以及相关责任人更替为由中止合同。</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16.3合同的终止</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（1）合同因有效期限届满而终止；</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（2）乙方未按合同约定履行，构成根本性违约的，甲方有权终止合同，并追究乙方的违约责任。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16.4 涉及国家利益、社会公共利益的情形</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政府采购合同继续履行将损害国家利益和社会公共利益的，双方当事人应当变更、中止或者终止合同。有过错的一方应当承担赔偿责任，双方都有过错的，各自承担相应的责任。</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17. 合同分包</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17.1 乙方不得将合同转包给其他供应商。涉及合同分包的，乙方应根据采购文件和投标（响应）文件规定进行合同分包。</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17.2 乙方执行政府采购政策向中小企业依法分包的，乙方应当按采购文件和投标（响应）文件签订分包意向协议，分包意向协议属于本合同组成部分。</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18. 不可抗力</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18.1 不可抗力是指合同双方不能预见、不能避免且不能克服的客观情况。</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18.2 任何一方对由于不可抗力造成的部分或全部不能履行合同不承担违约责任。但迟延履行后发生不可抗力的，不能免除责任。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19. 解决争议的方法</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19.1 因本合同及合同有关事项发生的争议，由甲乙双方友好协商解决。协商不成时，可以向有关组织申请调解。合同一方或双方不愿调解或调解不成的，可以通过仲裁或诉讼的方式解决争议。</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19.3 如甲乙双方有争议的事项不影响合同其他部分的履行，在争议解决期间，合同其他部分应当继续履行。</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20. 政府采购政策</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20.1 本合同应当按照规定执行政府采购政策。</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20.2 本合同依法执行政府采购政策的方式和内容，属于合同履约验收的范围。甲乙双方未按规定要求执行政府采购政策造成损失的，有过错的一方应当承担赔偿责任，双方都有过错的，各自承担相应的责任。</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21. 法律适用</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21.1 本合同的订立、生效、解释、履行及与本合同有关的争议解决，均适用法律、行政法规。</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21.2 本合同条款与法律、行政法规的强制性规定不一致的，双方当事人应按照法律、行政法规的强制性规定修改本合同的相关条款。</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22. 通知</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22.1 本合同任何一方向对方发出的通知、信件、数据电文等，应当发送至本合同第一部分《政府采购合同协议书》所约定的通讯地址、联系人、联系电话或电子邮箱。</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22.2 一方当事人变更名称、住所、联系人、联系电话或电子邮箱等信息的，应当在变更后3日内及时书面通知对方，对方实际收到变更通知前的送达仍为有效送达。</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22.3本合同一方给另一方的通知均应采用书面形式，传真或快递送到本合同中规定的对方的地址和办理签收手续。</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22.4通知以送达之日或通知书中规定的生效之日起生效，两者中以较迟之日为准。</w:t>
      </w:r>
    </w:p>
    <w:p>
      <w:pPr>
        <w:widowControl/>
        <w:shd w:val="clear" w:color="auto" w:fill="FFFFFF"/>
        <w:wordWrap w:val="0"/>
        <w:ind w:firstLine="482" w:firstLineChars="200"/>
        <w:jc w:val="left"/>
        <w:outlineLvl w:val="2"/>
        <w:rPr>
          <w:rFonts w:ascii="宋体" w:hAnsi="宋体" w:eastAsia="宋体" w:cs="Noto Sans"/>
          <w:b/>
          <w:bCs/>
          <w:kern w:val="0"/>
          <w:sz w:val="24"/>
          <w:szCs w:val="27"/>
        </w:rPr>
      </w:pPr>
      <w:r>
        <w:rPr>
          <w:rFonts w:hint="eastAsia" w:ascii="宋体" w:hAnsi="宋体" w:eastAsia="宋体" w:cs="Noto Sans"/>
          <w:b/>
          <w:bCs/>
          <w:kern w:val="0"/>
          <w:sz w:val="24"/>
          <w:szCs w:val="27"/>
        </w:rPr>
        <w:t>23.合同未尽事项</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23.1合同未尽事项见【政府采购合同专用条款】。</w:t>
      </w:r>
    </w:p>
    <w:p>
      <w:pPr>
        <w:widowControl/>
        <w:shd w:val="clear" w:color="auto" w:fill="FFFFFF"/>
        <w:wordWrap w:val="0"/>
        <w:ind w:firstLine="480" w:firstLineChars="200"/>
        <w:rPr>
          <w:rFonts w:ascii="宋体" w:hAnsi="宋体" w:eastAsia="宋体" w:cs="Noto Sans"/>
          <w:kern w:val="0"/>
          <w:sz w:val="24"/>
          <w:szCs w:val="24"/>
        </w:rPr>
      </w:pPr>
      <w:r>
        <w:rPr>
          <w:rFonts w:hint="eastAsia" w:ascii="宋体" w:hAnsi="宋体" w:eastAsia="宋体" w:cs="Noto Sans"/>
          <w:kern w:val="0"/>
          <w:sz w:val="24"/>
          <w:szCs w:val="24"/>
        </w:rPr>
        <w:t>23.2 合同附件与合同正文具有同等的法律效力。</w:t>
      </w:r>
    </w:p>
    <w:p>
      <w:pPr>
        <w:widowControl/>
        <w:shd w:val="clear" w:color="auto" w:fill="FFFFFF"/>
        <w:wordWrap w:val="0"/>
        <w:ind w:firstLine="482" w:firstLineChars="200"/>
        <w:jc w:val="center"/>
        <w:outlineLvl w:val="2"/>
        <w:rPr>
          <w:rFonts w:ascii="宋体" w:hAnsi="宋体" w:eastAsia="宋体" w:cs="Noto Sans"/>
          <w:b/>
          <w:bCs/>
          <w:kern w:val="0"/>
          <w:sz w:val="24"/>
          <w:szCs w:val="27"/>
        </w:rPr>
      </w:pPr>
      <w:r>
        <w:rPr>
          <w:rFonts w:hint="eastAsia" w:ascii="宋体" w:hAnsi="宋体" w:eastAsia="宋体" w:cs="Noto Sans"/>
          <w:b/>
          <w:bCs/>
          <w:kern w:val="0"/>
          <w:sz w:val="24"/>
          <w:szCs w:val="27"/>
        </w:rPr>
        <w:t>第三节 政府采购合同专用条款</w:t>
      </w:r>
    </w:p>
    <w:tbl>
      <w:tblPr>
        <w:tblStyle w:val="13"/>
        <w:tblW w:w="9878" w:type="dxa"/>
        <w:tblInd w:w="0" w:type="dxa"/>
        <w:tblLayout w:type="fixed"/>
        <w:tblCellMar>
          <w:top w:w="0" w:type="dxa"/>
          <w:left w:w="0" w:type="dxa"/>
          <w:bottom w:w="0" w:type="dxa"/>
          <w:right w:w="0" w:type="dxa"/>
        </w:tblCellMar>
      </w:tblPr>
      <w:tblGrid>
        <w:gridCol w:w="1809"/>
        <w:gridCol w:w="2849"/>
        <w:gridCol w:w="5220"/>
      </w:tblGrid>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第1.2（6）项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联合体具体要求</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第1.2（7）项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其他术语解释</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第4.4款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履约验收中甲方提出异议或作出说明的期限</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第4.6款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约定甲方承担的其他义务和责任</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第5.4款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约定乙方承担的其他义务和责任</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第6.1款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履行合同义务的顺序</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vMerge w:val="restar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第7.1款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包装特殊要求</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vMerge w:val="continue"/>
            <w:tcBorders>
              <w:top w:val="single" w:color="333333" w:sz="6" w:space="0"/>
              <w:left w:val="single" w:color="333333" w:sz="6" w:space="0"/>
              <w:bottom w:val="single" w:color="333333" w:sz="6" w:space="0"/>
              <w:right w:val="single" w:color="333333" w:sz="6" w:space="0"/>
            </w:tcBorders>
            <w:vAlign w:val="center"/>
          </w:tcPr>
          <w:p>
            <w:pPr>
              <w:widowControl/>
              <w:jc w:val="left"/>
              <w:rPr>
                <w:rFonts w:ascii="宋体" w:hAnsi="宋体" w:eastAsia="宋体" w:cs="宋体"/>
                <w:kern w:val="0"/>
                <w:sz w:val="24"/>
                <w:szCs w:val="24"/>
              </w:rPr>
            </w:pP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指定现场</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第7.2款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运输特殊要求</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第7.3款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保险要求</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第8.2（1）项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质量保证期</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第8.2（3）项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货物质量缺陷响应时间</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第11.1款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其他应当保密的信息</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第12.2款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合同价款支付时间</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第13.2款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履约保证金不予退还的情形</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第13.3款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履约保证金退还时间及逾期退还的违约金</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第14.1（3）项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运行监督、维修期限</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第14.1（5）项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货物回收的约定</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第14.1（6）项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乙方提供的其他服务</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第15.1款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修理、重作、更换相关具体规定</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第15.2（2）项</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迟延交货赔偿费</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第15.3款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逾期付款利息</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第15.4款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其他违约责任</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第19.2款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解决争议的方法</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因本合同及合同有关事项发生的争议，按下列第____ 种方式解决：</w:t>
            </w:r>
          </w:p>
          <w:p>
            <w:pPr>
              <w:widowControl/>
              <w:wordWrap w:val="0"/>
              <w:jc w:val="left"/>
              <w:rPr>
                <w:rFonts w:ascii="宋体" w:hAnsi="宋体" w:eastAsia="宋体" w:cs="宋体"/>
                <w:kern w:val="0"/>
                <w:sz w:val="24"/>
                <w:szCs w:val="24"/>
              </w:rPr>
            </w:pPr>
            <w:r>
              <w:rPr>
                <w:rFonts w:ascii="宋体" w:hAnsi="宋体" w:eastAsia="宋体" w:cs="宋体"/>
                <w:kern w:val="0"/>
                <w:sz w:val="24"/>
                <w:szCs w:val="24"/>
              </w:rPr>
              <w:t>（1）向 __________________仲裁委员会申请仲裁，仲裁地点为 ____________ ；</w:t>
            </w:r>
          </w:p>
          <w:p>
            <w:pPr>
              <w:widowControl/>
              <w:wordWrap w:val="0"/>
              <w:jc w:val="left"/>
              <w:rPr>
                <w:rFonts w:ascii="宋体" w:hAnsi="宋体" w:eastAsia="宋体" w:cs="宋体"/>
                <w:kern w:val="0"/>
                <w:sz w:val="24"/>
                <w:szCs w:val="24"/>
              </w:rPr>
            </w:pPr>
            <w:r>
              <w:rPr>
                <w:rFonts w:ascii="宋体" w:hAnsi="宋体" w:eastAsia="宋体" w:cs="宋体"/>
                <w:kern w:val="0"/>
                <w:sz w:val="24"/>
                <w:szCs w:val="24"/>
              </w:rPr>
              <w:t>（2）向__________________人民法院起诉。</w:t>
            </w:r>
          </w:p>
        </w:tc>
      </w:tr>
      <w:tr>
        <w:tblPrEx>
          <w:tblLayout w:type="fixed"/>
          <w:tblCellMar>
            <w:top w:w="0" w:type="dxa"/>
            <w:left w:w="0" w:type="dxa"/>
            <w:bottom w:w="0" w:type="dxa"/>
            <w:right w:w="0" w:type="dxa"/>
          </w:tblCellMar>
        </w:tblPrEx>
        <w:trPr>
          <w:trHeight w:val="567" w:hRule="atLeast"/>
        </w:trPr>
        <w:tc>
          <w:tcPr>
            <w:tcW w:w="180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第二节 第23.1款</w:t>
            </w:r>
          </w:p>
        </w:tc>
        <w:tc>
          <w:tcPr>
            <w:tcW w:w="2849"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r>
              <w:rPr>
                <w:rFonts w:ascii="宋体" w:hAnsi="宋体" w:eastAsia="宋体" w:cs="宋体"/>
                <w:kern w:val="0"/>
                <w:sz w:val="24"/>
                <w:szCs w:val="24"/>
              </w:rPr>
              <w:t>其他专用条款</w:t>
            </w:r>
          </w:p>
        </w:tc>
        <w:tc>
          <w:tcPr>
            <w:tcW w:w="5220" w:type="dxa"/>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jc w:val="left"/>
              <w:rPr>
                <w:rFonts w:ascii="宋体" w:hAnsi="宋体" w:eastAsia="宋体" w:cs="宋体"/>
                <w:kern w:val="0"/>
                <w:sz w:val="24"/>
                <w:szCs w:val="24"/>
              </w:rPr>
            </w:pPr>
          </w:p>
        </w:tc>
      </w:tr>
    </w:tbl>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1"/>
        <w:rPr>
          <w:rFonts w:ascii="宋体" w:hAnsi="宋体" w:eastAsia="宋体" w:cs="Noto Sans"/>
          <w:b/>
          <w:kern w:val="0"/>
          <w:sz w:val="24"/>
          <w:szCs w:val="39"/>
        </w:rPr>
      </w:pPr>
      <w:r>
        <w:rPr>
          <w:rFonts w:ascii="宋体" w:hAnsi="宋体" w:eastAsia="宋体" w:cs="Noto Sans"/>
          <w:kern w:val="0"/>
          <w:sz w:val="36"/>
          <w:szCs w:val="39"/>
        </w:rPr>
        <w:br w:type="page"/>
      </w:r>
      <w:r>
        <w:rPr>
          <w:rFonts w:ascii="宋体" w:hAnsi="宋体" w:eastAsia="宋体" w:cs="Noto Sans"/>
          <w:b/>
          <w:kern w:val="0"/>
          <w:sz w:val="36"/>
          <w:szCs w:val="39"/>
        </w:rPr>
        <w:t>第七章 电子投标文件格式</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编制说明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1、除招标文件另有规定外，本章中：</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1.1涉及投标人的“全称”：</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（1）不接受联合体投标的，指投标人的全称。</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（2）接受联合体投标且投标人为联合体的，指牵头方的全称并加注（联合体牵头方），即应表述为：“牵头方的全称（联合体牵头方）”。</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1.2涉及投标人“加盖单位公章”：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（1）不接受联合体投标的，指加盖投标人的单位公章。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（2）接受联合体投标且投标人为联合体的，指加盖联合体牵头方的单位公章。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1.3涉及“投标人代表签字”：</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（1）不接受联合体投标的，指由投标人的单位负责人或其授权的委托代理人签字，由委托代理人签字的，应提供“单位授权书”。</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（2）接受联合体投标且投标人为联合体的，指由联合体牵头方的单位负责人或其授权的委托代理人签字，由委托代理人签字的，应提供“单位授权书”。</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1.4“其他组织”指合伙企业、非企业专业服务机构、个体工商户、农村承包经营户等。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1.5“自然人”指具有完全民事行为能力、能够承担民事责任和义务的中国公民。</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2、除招标文件另有规定外，本章中“投标人的资格及资信证明文件”：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2.1投标人应按照招标文件第四章第1.3条第（2）款规定及本章规定进行编制，如有必要，可增加附页，附页作为资格及资信文件的组成部分。</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2.2接受联合体投标且投标人为联合体的，联合体中的各方均应按照本章第2.1条规定提交相应的全部资料。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3、投标人对电子投标文件的索引应编制页码。</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4、本章提供格式仅供参考，投标人应根据自身实际情况制作电子投标文件。</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2"/>
        <w:rPr>
          <w:rFonts w:ascii="宋体" w:hAnsi="宋体" w:eastAsia="宋体" w:cs="Noto Sans"/>
          <w:b/>
          <w:bCs/>
          <w:kern w:val="0"/>
          <w:sz w:val="24"/>
          <w:szCs w:val="27"/>
        </w:rPr>
      </w:pPr>
      <w:r>
        <w:rPr>
          <w:rFonts w:ascii="宋体" w:hAnsi="宋体" w:eastAsia="宋体" w:cs="Noto Sans"/>
          <w:b/>
          <w:bCs/>
          <w:kern w:val="0"/>
          <w:sz w:val="36"/>
          <w:szCs w:val="27"/>
        </w:rPr>
        <w:br w:type="page"/>
      </w:r>
      <w:r>
        <w:rPr>
          <w:rFonts w:ascii="宋体" w:hAnsi="宋体" w:eastAsia="宋体" w:cs="Noto Sans"/>
          <w:b/>
          <w:bCs/>
          <w:kern w:val="0"/>
          <w:sz w:val="36"/>
          <w:szCs w:val="27"/>
        </w:rPr>
        <w:t>封面格式(资格及资信证明部分)</w:t>
      </w:r>
    </w:p>
    <w:p>
      <w:pPr>
        <w:widowControl/>
        <w:ind w:firstLine="562" w:firstLineChars="200"/>
        <w:jc w:val="center"/>
        <w:outlineLvl w:val="0"/>
        <w:rPr>
          <w:rFonts w:ascii="宋体" w:hAnsi="宋体" w:eastAsia="宋体" w:cs="宋体"/>
          <w:b/>
          <w:bCs/>
          <w:kern w:val="36"/>
          <w:sz w:val="28"/>
          <w:szCs w:val="28"/>
        </w:rPr>
      </w:pPr>
      <w:r>
        <w:rPr>
          <w:rFonts w:ascii="宋体" w:hAnsi="宋体" w:eastAsia="宋体" w:cs="宋体"/>
          <w:b/>
          <w:bCs/>
          <w:kern w:val="36"/>
          <w:sz w:val="28"/>
          <w:szCs w:val="28"/>
        </w:rPr>
        <w:t>福建省政府采购投标文件</w:t>
      </w:r>
    </w:p>
    <w:p>
      <w:pPr>
        <w:widowControl/>
        <w:ind w:firstLine="562" w:firstLineChars="200"/>
        <w:jc w:val="center"/>
        <w:outlineLvl w:val="0"/>
        <w:rPr>
          <w:rFonts w:ascii="宋体" w:hAnsi="宋体" w:eastAsia="宋体" w:cs="宋体"/>
          <w:b/>
          <w:bCs/>
          <w:kern w:val="36"/>
          <w:sz w:val="28"/>
          <w:szCs w:val="28"/>
        </w:rPr>
      </w:pPr>
      <w:r>
        <w:rPr>
          <w:rFonts w:ascii="宋体" w:hAnsi="宋体" w:eastAsia="宋体" w:cs="宋体"/>
          <w:b/>
          <w:bCs/>
          <w:kern w:val="36"/>
          <w:sz w:val="28"/>
          <w:szCs w:val="28"/>
        </w:rPr>
        <w:t>（资格及资信证明部分）</w:t>
      </w:r>
    </w:p>
    <w:p>
      <w:pPr>
        <w:widowControl/>
        <w:ind w:firstLine="560" w:firstLineChars="200"/>
        <w:jc w:val="left"/>
        <w:rPr>
          <w:rFonts w:ascii="宋体" w:hAnsi="宋体" w:eastAsia="宋体" w:cs="宋体"/>
          <w:kern w:val="0"/>
          <w:sz w:val="28"/>
          <w:szCs w:val="28"/>
        </w:rPr>
      </w:pPr>
      <w:r>
        <w:rPr>
          <w:rFonts w:ascii="宋体" w:hAnsi="宋体" w:eastAsia="宋体" w:cs="宋体"/>
          <w:kern w:val="0"/>
          <w:sz w:val="28"/>
          <w:szCs w:val="28"/>
        </w:rPr>
        <w:br w:type="textWrapping"/>
      </w:r>
      <w:r>
        <w:rPr>
          <w:rFonts w:ascii="宋体" w:hAnsi="宋体" w:eastAsia="宋体" w:cs="宋体"/>
          <w:kern w:val="0"/>
          <w:sz w:val="28"/>
          <w:szCs w:val="28"/>
        </w:rPr>
        <w:br w:type="textWrapping"/>
      </w:r>
    </w:p>
    <w:p>
      <w:pPr>
        <w:widowControl/>
        <w:ind w:firstLine="562" w:firstLineChars="200"/>
        <w:jc w:val="center"/>
        <w:outlineLvl w:val="1"/>
        <w:rPr>
          <w:rFonts w:ascii="宋体" w:hAnsi="宋体" w:eastAsia="宋体" w:cs="宋体"/>
          <w:b/>
          <w:bCs/>
          <w:kern w:val="0"/>
          <w:sz w:val="28"/>
          <w:szCs w:val="28"/>
        </w:rPr>
      </w:pPr>
      <w:r>
        <w:rPr>
          <w:rFonts w:ascii="宋体" w:hAnsi="宋体" w:eastAsia="宋体" w:cs="宋体"/>
          <w:b/>
          <w:bCs/>
          <w:kern w:val="0"/>
          <w:sz w:val="28"/>
          <w:szCs w:val="28"/>
        </w:rPr>
        <w:t>（填写正本或副本）</w:t>
      </w:r>
    </w:p>
    <w:p>
      <w:pPr>
        <w:widowControl/>
        <w:ind w:firstLine="560" w:firstLineChars="200"/>
        <w:jc w:val="left"/>
        <w:rPr>
          <w:rFonts w:ascii="宋体" w:hAnsi="宋体" w:eastAsia="宋体" w:cs="宋体"/>
          <w:kern w:val="0"/>
          <w:sz w:val="28"/>
          <w:szCs w:val="28"/>
        </w:rPr>
      </w:pPr>
      <w:r>
        <w:rPr>
          <w:rFonts w:ascii="宋体" w:hAnsi="宋体" w:eastAsia="宋体" w:cs="宋体"/>
          <w:kern w:val="0"/>
          <w:sz w:val="28"/>
          <w:szCs w:val="28"/>
        </w:rPr>
        <w:br w:type="textWrapping"/>
      </w:r>
      <w:r>
        <w:rPr>
          <w:rFonts w:ascii="宋体" w:hAnsi="宋体" w:eastAsia="宋体" w:cs="宋体"/>
          <w:kern w:val="0"/>
          <w:sz w:val="28"/>
          <w:szCs w:val="28"/>
        </w:rPr>
        <w:br w:type="textWrapping"/>
      </w:r>
      <w:r>
        <w:rPr>
          <w:rFonts w:ascii="宋体" w:hAnsi="宋体" w:eastAsia="宋体" w:cs="宋体"/>
          <w:kern w:val="0"/>
          <w:sz w:val="28"/>
          <w:szCs w:val="28"/>
        </w:rPr>
        <w:br w:type="textWrapping"/>
      </w:r>
      <w:r>
        <w:rPr>
          <w:rFonts w:ascii="宋体" w:hAnsi="宋体" w:eastAsia="宋体" w:cs="宋体"/>
          <w:kern w:val="0"/>
          <w:sz w:val="28"/>
          <w:szCs w:val="28"/>
        </w:rPr>
        <w:br w:type="textWrapping"/>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项目名称：（由投标人填写）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备案编号：（由投标人填写）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项目编号：（由投标人填写）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所投采购包：（由投标人填写）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投标人：（填写“全称”）</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（由投标人填写）年（由投标人填写）月</w:t>
      </w:r>
    </w:p>
    <w:p>
      <w:pPr>
        <w:widowControl/>
        <w:shd w:val="clear" w:color="auto" w:fill="FFFFFF"/>
        <w:wordWrap w:val="0"/>
        <w:ind w:firstLine="560" w:firstLineChars="200"/>
        <w:jc w:val="left"/>
        <w:rPr>
          <w:rFonts w:ascii="宋体" w:hAnsi="宋体" w:eastAsia="宋体" w:cs="Noto Sans"/>
          <w:kern w:val="0"/>
          <w:sz w:val="28"/>
          <w:szCs w:val="28"/>
        </w:rPr>
      </w:pPr>
      <w:r>
        <w:rPr>
          <w:rFonts w:ascii="宋体" w:hAnsi="宋体" w:eastAsia="宋体" w:cs="Noto Sans"/>
          <w:kern w:val="0"/>
          <w:sz w:val="28"/>
          <w:szCs w:val="28"/>
        </w:rPr>
        <w:t> </w:t>
      </w:r>
    </w:p>
    <w:p>
      <w:pPr>
        <w:widowControl/>
        <w:shd w:val="clear" w:color="auto" w:fill="FFFFFF"/>
        <w:ind w:firstLine="723" w:firstLineChars="200"/>
        <w:jc w:val="center"/>
        <w:outlineLvl w:val="2"/>
        <w:rPr>
          <w:rFonts w:ascii="宋体" w:hAnsi="宋体" w:eastAsia="宋体" w:cs="Noto Sans"/>
          <w:b/>
          <w:bCs/>
          <w:kern w:val="0"/>
          <w:sz w:val="36"/>
          <w:szCs w:val="27"/>
        </w:rPr>
      </w:pPr>
      <w:r>
        <w:rPr>
          <w:rFonts w:ascii="宋体" w:hAnsi="宋体" w:eastAsia="宋体" w:cs="Noto Sans"/>
          <w:b/>
          <w:bCs/>
          <w:kern w:val="0"/>
          <w:sz w:val="36"/>
          <w:szCs w:val="27"/>
        </w:rPr>
        <w:br w:type="page"/>
      </w:r>
      <w:r>
        <w:rPr>
          <w:rFonts w:ascii="宋体" w:hAnsi="宋体" w:eastAsia="宋体" w:cs="Noto Sans"/>
          <w:b/>
          <w:bCs/>
          <w:kern w:val="0"/>
          <w:sz w:val="36"/>
          <w:szCs w:val="27"/>
        </w:rPr>
        <w:t>索引</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一、投标函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二、投标人的资格及资信证明文件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三、投标保证金</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资格及资信证明部分中不得出现报价部分的全部或部分的投标报价信息（或组成资料），否则资格审查不合格。（联合体协议及分包意向协议中的比例规定，不适用本条款）</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一、投标函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兹收到贵单位关于</w:t>
      </w:r>
      <w:r>
        <w:rPr>
          <w:rFonts w:ascii="宋体" w:hAnsi="宋体" w:eastAsia="宋体" w:cs="宋体"/>
          <w:kern w:val="0"/>
          <w:sz w:val="24"/>
          <w:szCs w:val="24"/>
          <w:u w:val="single"/>
        </w:rPr>
        <w:t>（填写“项目名称”） </w:t>
      </w:r>
      <w:r>
        <w:rPr>
          <w:rFonts w:ascii="宋体" w:hAnsi="宋体" w:eastAsia="宋体" w:cs="宋体"/>
          <w:kern w:val="0"/>
          <w:sz w:val="24"/>
          <w:szCs w:val="24"/>
        </w:rPr>
        <w:t>项目</w:t>
      </w:r>
      <w:r>
        <w:rPr>
          <w:rFonts w:ascii="宋体" w:hAnsi="宋体" w:eastAsia="宋体" w:cs="宋体"/>
          <w:kern w:val="0"/>
          <w:sz w:val="24"/>
          <w:szCs w:val="24"/>
          <w:u w:val="single"/>
        </w:rPr>
        <w:t>（项目编号：　　　　　） </w:t>
      </w:r>
      <w:r>
        <w:rPr>
          <w:rFonts w:ascii="宋体" w:hAnsi="宋体" w:eastAsia="宋体" w:cs="宋体"/>
          <w:kern w:val="0"/>
          <w:sz w:val="24"/>
          <w:szCs w:val="24"/>
        </w:rPr>
        <w:t>的投标邀请，本投标人代表</w:t>
      </w:r>
      <w:r>
        <w:rPr>
          <w:rFonts w:ascii="宋体" w:hAnsi="宋体" w:eastAsia="宋体" w:cs="宋体"/>
          <w:kern w:val="0"/>
          <w:sz w:val="24"/>
          <w:szCs w:val="24"/>
          <w:u w:val="single"/>
        </w:rPr>
        <w:t>（填写“全名”） </w:t>
      </w:r>
      <w:r>
        <w:rPr>
          <w:rFonts w:ascii="宋体" w:hAnsi="宋体" w:eastAsia="宋体" w:cs="宋体"/>
          <w:kern w:val="0"/>
          <w:sz w:val="24"/>
          <w:szCs w:val="24"/>
        </w:rPr>
        <w:t>已获得我方正式授权并代表投标人（填写“全称”）参加投标，并提交电子投标文件。我方提交的全部电子投标文件由下述部分组成：</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（1）资格及资信证明部分</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①投标函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②投标人的资格及资信证明文件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③投标保证金</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（2）报价部分</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①开标（报价）一览表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②投标（响应）报价明细表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③招标文件规定的价格扣除证明材料（若有）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④招标文件规定的加分证明材料（若有）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（3）技术商务部分</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①标的说明一览表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②技术和服务要求响应表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③商务条件响应表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④投标人提交的其他资料（若有）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根据本函，本投标人代表宣布我方保证遵守招标文件的全部规定，同时：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1、确认：</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1.1所投采购包的投标报价详见“开标（报价）一览表”及“投标（响应）报价明细表”。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1.2我方已详细审查全部招标文件[包括但不限于：有关附件（若有）、澄清或修改（若有）等]，并自行承担因对全部招标文件理解不正确或误解而产生的相应后果和责任。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2、承诺及声明：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2.1我方具备招标文件第一章载明的“投标人的资格要求”且符合招标文件第三章载明的“二、投标人”之规定，否则投标无效。</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2.2我方提交的电子投标文件各组成部分的全部内容及资料是不可割离且真实、有效、准确、完整和不具有任何误导性的，否则产生不利后果由我方承担责任。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2.3我方提供的标的价格不高于同期市场价格，否则产生不利后果由我方承担责任。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2.4投标保证金：若出现招标文件第三章规定的不予退还情形，同意贵单位不予退还。</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2.5投标有效期：按照招标文件第三章规定执行，并在招标文件第二章载明的期限内保持有效。</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2.6若中标，将按照招标文件、我方电子投标文件及政府采购合同履行责任和义务。</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2.7若贵单位要求，我方同意提供与本项目投标有关的一切资料、数据或文件，并完全理解贵单位不一定要接受最低的投标报价或收到的任何投标。</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2.8我方承诺遵守《中华人民共和国劳动合同法》有关规定和《中华人民共和国妇女权益保障法 》中关于“劳动和社会保障权益”的有关要求。</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2.9我方承诺电子投标文件所提供的全部资料真实可靠，并接受评标委员会、采购人、采购代理机构、监管部门进一步审查其中任何资料真实性的要求。</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2.10除招标文件另有规定外，对于贵单位按照下述联络方式发出的任何信息或通知，均视为我方已收悉前述信息或通知的全部内容：</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通信地址：</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邮编：</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联系方法：（包括但不限于：联系人、联系电话、手机、传真、电子邮箱等）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投标人：（全称并加盖单位公章）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日期： 年 月 日</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0" w:firstLineChars="200"/>
        <w:jc w:val="center"/>
        <w:outlineLvl w:val="2"/>
        <w:rPr>
          <w:rFonts w:ascii="宋体" w:hAnsi="宋体" w:eastAsia="宋体" w:cs="Noto Sans"/>
          <w:kern w:val="0"/>
          <w:sz w:val="24"/>
          <w:szCs w:val="27"/>
        </w:rPr>
      </w:pPr>
      <w:r>
        <w:rPr>
          <w:rFonts w:ascii="宋体" w:hAnsi="宋体" w:eastAsia="宋体" w:cs="Noto Sans"/>
          <w:kern w:val="0"/>
          <w:sz w:val="24"/>
          <w:szCs w:val="27"/>
        </w:rPr>
        <w:t>二、投标人的资格及资信证明文件</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二-1单位授权书（若有）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我方的单位负责人</w:t>
      </w:r>
      <w:r>
        <w:rPr>
          <w:rFonts w:ascii="宋体" w:hAnsi="宋体" w:eastAsia="宋体" w:cs="宋体"/>
          <w:kern w:val="0"/>
          <w:sz w:val="24"/>
          <w:szCs w:val="24"/>
          <w:u w:val="single"/>
        </w:rPr>
        <w:t>（填写“单位负责人全名”）</w:t>
      </w:r>
      <w:r>
        <w:rPr>
          <w:rFonts w:ascii="宋体" w:hAnsi="宋体" w:eastAsia="宋体" w:cs="宋体"/>
          <w:kern w:val="0"/>
          <w:sz w:val="24"/>
          <w:szCs w:val="24"/>
        </w:rPr>
        <w:t>授权</w:t>
      </w:r>
      <w:r>
        <w:rPr>
          <w:rFonts w:ascii="宋体" w:hAnsi="宋体" w:eastAsia="宋体" w:cs="宋体"/>
          <w:kern w:val="0"/>
          <w:sz w:val="24"/>
          <w:szCs w:val="24"/>
          <w:u w:val="single"/>
        </w:rPr>
        <w:t>（填写“投标人代表全名”）</w:t>
      </w:r>
      <w:r>
        <w:rPr>
          <w:rFonts w:ascii="宋体" w:hAnsi="宋体" w:eastAsia="宋体" w:cs="宋体"/>
          <w:kern w:val="0"/>
          <w:sz w:val="24"/>
          <w:szCs w:val="24"/>
        </w:rPr>
        <w:t>为投标人代表，代表我方参加</w:t>
      </w:r>
      <w:r>
        <w:rPr>
          <w:rFonts w:ascii="宋体" w:hAnsi="宋体" w:eastAsia="宋体" w:cs="宋体"/>
          <w:kern w:val="0"/>
          <w:sz w:val="24"/>
          <w:szCs w:val="24"/>
          <w:u w:val="single"/>
        </w:rPr>
        <w:t>（填写“项目名称”）</w:t>
      </w:r>
      <w:r>
        <w:rPr>
          <w:rFonts w:ascii="宋体" w:hAnsi="宋体" w:eastAsia="宋体" w:cs="宋体"/>
          <w:kern w:val="0"/>
          <w:sz w:val="24"/>
          <w:szCs w:val="24"/>
        </w:rPr>
        <w:t>项目（项目编号：</w:t>
      </w:r>
      <w:r>
        <w:rPr>
          <w:rFonts w:ascii="宋体" w:hAnsi="宋体" w:eastAsia="宋体" w:cs="宋体"/>
          <w:kern w:val="0"/>
          <w:sz w:val="24"/>
          <w:szCs w:val="24"/>
          <w:u w:val="single"/>
        </w:rPr>
        <w:t>　　　　　</w:t>
      </w:r>
      <w:r>
        <w:rPr>
          <w:rFonts w:ascii="宋体" w:hAnsi="宋体" w:eastAsia="宋体" w:cs="宋体"/>
          <w:kern w:val="0"/>
          <w:sz w:val="24"/>
          <w:szCs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投标人代表无转委权。特此授权。</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（以下无正文）</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单位负责人：</w:t>
      </w:r>
      <w:r>
        <w:rPr>
          <w:rFonts w:ascii="宋体" w:hAnsi="宋体" w:eastAsia="宋体" w:cs="宋体"/>
          <w:kern w:val="0"/>
          <w:sz w:val="24"/>
          <w:szCs w:val="24"/>
          <w:u w:val="single"/>
        </w:rPr>
        <w:t>　　　　　</w:t>
      </w:r>
      <w:r>
        <w:rPr>
          <w:rFonts w:ascii="宋体" w:hAnsi="宋体" w:eastAsia="宋体" w:cs="宋体"/>
          <w:kern w:val="0"/>
          <w:sz w:val="24"/>
          <w:szCs w:val="24"/>
        </w:rPr>
        <w:t>身份证号：</w:t>
      </w:r>
      <w:r>
        <w:rPr>
          <w:rFonts w:ascii="宋体" w:hAnsi="宋体" w:eastAsia="宋体" w:cs="宋体"/>
          <w:kern w:val="0"/>
          <w:sz w:val="24"/>
          <w:szCs w:val="24"/>
          <w:u w:val="single"/>
        </w:rPr>
        <w:t>　　　　　</w:t>
      </w:r>
      <w:r>
        <w:rPr>
          <w:rFonts w:ascii="宋体" w:hAnsi="宋体" w:eastAsia="宋体" w:cs="宋体"/>
          <w:kern w:val="0"/>
          <w:sz w:val="24"/>
          <w:szCs w:val="24"/>
        </w:rPr>
        <w:t>手机：</w:t>
      </w:r>
      <w:r>
        <w:rPr>
          <w:rFonts w:ascii="宋体" w:hAnsi="宋体" w:eastAsia="宋体" w:cs="宋体"/>
          <w:kern w:val="0"/>
          <w:sz w:val="24"/>
          <w:szCs w:val="24"/>
          <w:u w:val="single"/>
        </w:rPr>
        <w:t>　　　　　</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投标人代表：</w:t>
      </w:r>
      <w:r>
        <w:rPr>
          <w:rFonts w:ascii="宋体" w:hAnsi="宋体" w:eastAsia="宋体" w:cs="宋体"/>
          <w:kern w:val="0"/>
          <w:sz w:val="24"/>
          <w:szCs w:val="24"/>
          <w:u w:val="single"/>
        </w:rPr>
        <w:t>　　　　　</w:t>
      </w:r>
      <w:r>
        <w:rPr>
          <w:rFonts w:ascii="宋体" w:hAnsi="宋体" w:eastAsia="宋体" w:cs="宋体"/>
          <w:kern w:val="0"/>
          <w:sz w:val="24"/>
          <w:szCs w:val="24"/>
        </w:rPr>
        <w:t>身份证号：</w:t>
      </w:r>
      <w:r>
        <w:rPr>
          <w:rFonts w:ascii="宋体" w:hAnsi="宋体" w:eastAsia="宋体" w:cs="宋体"/>
          <w:kern w:val="0"/>
          <w:sz w:val="24"/>
          <w:szCs w:val="24"/>
          <w:u w:val="single"/>
        </w:rPr>
        <w:t>　　　　　</w:t>
      </w:r>
      <w:r>
        <w:rPr>
          <w:rFonts w:ascii="宋体" w:hAnsi="宋体" w:eastAsia="宋体" w:cs="宋体"/>
          <w:kern w:val="0"/>
          <w:sz w:val="24"/>
          <w:szCs w:val="24"/>
        </w:rPr>
        <w:t>手机：</w:t>
      </w:r>
      <w:r>
        <w:rPr>
          <w:rFonts w:ascii="宋体" w:hAnsi="宋体" w:eastAsia="宋体" w:cs="宋体"/>
          <w:kern w:val="0"/>
          <w:sz w:val="24"/>
          <w:szCs w:val="24"/>
          <w:u w:val="single"/>
        </w:rPr>
        <w:t>　　　　　</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授权方</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签署日期：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附：单位负责人、投标人代表的身份证正反面复印件</w:t>
      </w:r>
    </w:p>
    <w:p>
      <w:pPr>
        <w:widowControl/>
        <w:wordWrap w:val="0"/>
        <w:ind w:firstLine="480" w:firstLineChars="200"/>
        <w:jc w:val="center"/>
        <w:rPr>
          <w:rFonts w:ascii="宋体" w:hAnsi="宋体" w:eastAsia="宋体" w:cs="宋体"/>
          <w:kern w:val="0"/>
          <w:sz w:val="24"/>
          <w:szCs w:val="24"/>
        </w:rPr>
      </w:pPr>
      <w:r>
        <w:rPr>
          <w:rFonts w:ascii="宋体" w:hAnsi="宋体" w:eastAsia="宋体" w:cs="宋体"/>
          <w:kern w:val="0"/>
          <w:sz w:val="24"/>
          <w:szCs w:val="24"/>
        </w:rPr>
        <w:t>要求：真实有效且内容完整、清晰、整洁。</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1、企业（银行、保险、石油石化、电力、电信等行业除外）、事业单位和社会团体法人的“单位负责人”指法定代表人，即与实际提交的“营业执照等证明文件”载明的一致。</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3、投标人（自然人除外）：若投标人代表为单位授权的委托代理人，应提供本授权书；若投标人代表为单位负责人，应在此项下提交其身份证正反面复印件，可不提供本授权书。</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4、投标人为自然人的，可不填写本授权书。</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二-2 证明材料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二-2-1 福建省政府采购供应商资格承诺函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单位名称(自然人姓名):</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统一社会信用代码(自然人身份证号码):</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法定代表人(负责人):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联系地址和电话:</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我单位(本人)自愿参加本次政府采购活动，严格遵守《中华人民共和国政府采购法》及相关法律法规，坚守公开、公平公正和诚实信用等原则，依法诚信经营，并郑重承诺: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一、我单位(本人)具备采购文件要求以及《中华人民共和国政府采购法》第二十二条规定的条件: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1.具有独立承担民事责任的能力;</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2.具有良好的商业信誉和健全的财务会计制度;</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3.具有履行合同所必需的设备和专业技术能力;</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4.有依法缴纳税收和社会保障资金的良好记录;</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5.参加政府采购活动前三年内，在经营活动中没有重大违法记录；</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6.法律、行政法规规定的其他条件。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供应商：</w:t>
      </w:r>
      <w:r>
        <w:rPr>
          <w:rFonts w:ascii="宋体" w:hAnsi="宋体" w:eastAsia="宋体" w:cs="宋体"/>
          <w:kern w:val="0"/>
          <w:sz w:val="24"/>
          <w:szCs w:val="24"/>
          <w:u w:val="single"/>
        </w:rPr>
        <w:t>名称(单位公章)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1.我单位(本人)专指参加政府采购活动的供应商(含自然人)；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2.资格承诺的供应商应在投标(响应)文件中按此模板提供承诺函，否则，视为未按照招标文件规定提交投标人的资格及资信文件，按资格审查不通过处理。</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二-2-2 资格证明材料</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营业执照等证明文件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）投标人为法人（包括企业、事业单位和社会团体）的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现附上由</w:t>
      </w:r>
      <w:r>
        <w:rPr>
          <w:rFonts w:ascii="宋体" w:hAnsi="宋体" w:eastAsia="宋体" w:cs="宋体"/>
          <w:kern w:val="0"/>
          <w:sz w:val="24"/>
          <w:szCs w:val="24"/>
          <w:u w:val="single"/>
        </w:rPr>
        <w:t>（（填写“签发机关全称”）</w:t>
      </w:r>
      <w:r>
        <w:rPr>
          <w:rFonts w:ascii="宋体" w:hAnsi="宋体" w:eastAsia="宋体" w:cs="宋体"/>
          <w:kern w:val="0"/>
          <w:sz w:val="24"/>
          <w:szCs w:val="24"/>
        </w:rPr>
        <w:t>签发的我方统一社会信用代码（请填写法人的具体证照名称）复印件，该证明材料真实有效，否则我方负全部责任。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）投标人为非法人（包括其他组织、自然人）的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□现附上由</w:t>
      </w:r>
      <w:r>
        <w:rPr>
          <w:rFonts w:ascii="宋体" w:hAnsi="宋体" w:eastAsia="宋体" w:cs="宋体"/>
          <w:kern w:val="0"/>
          <w:sz w:val="24"/>
          <w:szCs w:val="24"/>
          <w:u w:val="single"/>
        </w:rPr>
        <w:t>（（填写“签发机关全称”）</w:t>
      </w:r>
      <w:r>
        <w:rPr>
          <w:rFonts w:ascii="宋体" w:hAnsi="宋体" w:eastAsia="宋体" w:cs="宋体"/>
          <w:kern w:val="0"/>
          <w:sz w:val="24"/>
          <w:szCs w:val="24"/>
        </w:rPr>
        <w:t>签发的我方（请填写非自然人的非法人的具体证照名称）复印件，该证明材料真实有效，否则我方负全部责任。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□现附上由</w:t>
      </w:r>
      <w:r>
        <w:rPr>
          <w:rFonts w:ascii="宋体" w:hAnsi="宋体" w:eastAsia="宋体" w:cs="宋体"/>
          <w:kern w:val="0"/>
          <w:sz w:val="24"/>
          <w:szCs w:val="24"/>
          <w:u w:val="single"/>
        </w:rPr>
        <w:t>（（填写“签发机关全称”）</w:t>
      </w:r>
      <w:r>
        <w:rPr>
          <w:rFonts w:ascii="宋体" w:hAnsi="宋体" w:eastAsia="宋体" w:cs="宋体"/>
          <w:kern w:val="0"/>
          <w:sz w:val="24"/>
          <w:szCs w:val="24"/>
        </w:rPr>
        <w:t>签发的我方（请填写自然人的身份证件名称）复印件，该证明材料真实有效，否则我方负全部责任。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1、请投标人按照实际情况编制填写，在相应的（）中打“√”并选择相应的“□”（若有）后，再按照本格式的要求提供相应证明材料的复印件。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财务状况报告（财务报告、或资信证明）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）投标人提供财务报告的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□企业适用：现附上我方</w:t>
      </w:r>
      <w:r>
        <w:rPr>
          <w:rFonts w:ascii="宋体" w:hAnsi="宋体" w:eastAsia="宋体" w:cs="宋体"/>
          <w:kern w:val="0"/>
          <w:sz w:val="24"/>
          <w:szCs w:val="24"/>
          <w:u w:val="single"/>
        </w:rPr>
        <w:t>（填写“具体的年度、或半年度、季度”）</w:t>
      </w:r>
      <w:r>
        <w:rPr>
          <w:rFonts w:ascii="宋体" w:hAnsi="宋体" w:eastAsia="宋体" w:cs="宋体"/>
          <w:kern w:val="0"/>
          <w:sz w:val="24"/>
          <w:szCs w:val="24"/>
        </w:rPr>
        <w:t>财务报告复印件，包括资产负债表、利润表、现金流量表、所有者权益变动表（若有）及其附注（若有）、会计师事务所营业执照和注册会计师资格证书，上述证明材料真实有效，否则我方负全部责任。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□事业单位适用：现附上我方</w:t>
      </w:r>
      <w:r>
        <w:rPr>
          <w:rFonts w:ascii="宋体" w:hAnsi="宋体" w:eastAsia="宋体" w:cs="宋体"/>
          <w:kern w:val="0"/>
          <w:sz w:val="24"/>
          <w:szCs w:val="24"/>
          <w:u w:val="single"/>
        </w:rPr>
        <w:t>（填写“具体的年度、或半年度、或季度”）</w:t>
      </w:r>
      <w:r>
        <w:rPr>
          <w:rFonts w:ascii="宋体" w:hAnsi="宋体" w:eastAsia="宋体" w:cs="宋体"/>
          <w:kern w:val="0"/>
          <w:sz w:val="24"/>
          <w:szCs w:val="24"/>
        </w:rPr>
        <w:t>财务报告复印件，包括资产负债表、收入支出表（或收入费用表）、财政补助收入支出表（若有）、会计师事务所营业执照和注册会计师资格证书，上述证明材料真实有效，否则我方负全部责任。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□社会团体、民办非企适用：现附上我方</w:t>
      </w:r>
      <w:r>
        <w:rPr>
          <w:rFonts w:ascii="宋体" w:hAnsi="宋体" w:eastAsia="宋体" w:cs="宋体"/>
          <w:kern w:val="0"/>
          <w:sz w:val="24"/>
          <w:szCs w:val="24"/>
          <w:u w:val="single"/>
        </w:rPr>
        <w:t>（填写“具体的年度、或半年度、或季度”）</w:t>
      </w:r>
      <w:r>
        <w:rPr>
          <w:rFonts w:ascii="宋体" w:hAnsi="宋体" w:eastAsia="宋体" w:cs="宋体"/>
          <w:kern w:val="0"/>
          <w:sz w:val="24"/>
          <w:szCs w:val="24"/>
        </w:rPr>
        <w:t>财务报告复印件，包括资产负债表、业务活动表、现金流量表、会计师事务所营业执照和注册会计师资格证书，上述证明材料真实有效，否则我方负全部责任。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）投标人提供资信证明的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□非自然人适用（包括企业、事业单位、社会团体和其他组织）：现附上我方银行：</w:t>
      </w:r>
      <w:r>
        <w:rPr>
          <w:rFonts w:ascii="宋体" w:hAnsi="宋体" w:eastAsia="宋体" w:cs="宋体"/>
          <w:kern w:val="0"/>
          <w:sz w:val="24"/>
          <w:szCs w:val="24"/>
          <w:u w:val="single"/>
        </w:rPr>
        <w:t>（填写“开户银行全称”）</w:t>
      </w:r>
      <w:r>
        <w:rPr>
          <w:rFonts w:ascii="宋体" w:hAnsi="宋体" w:eastAsia="宋体" w:cs="宋体"/>
          <w:kern w:val="0"/>
          <w:sz w:val="24"/>
          <w:szCs w:val="24"/>
        </w:rPr>
        <w:t>出具的资信证明复印件，上述证明材料真实有效，否则我方负全部责任。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□自然人适用：现附上我方银行</w:t>
      </w:r>
      <w:r>
        <w:rPr>
          <w:rFonts w:ascii="宋体" w:hAnsi="宋体" w:eastAsia="宋体" w:cs="宋体"/>
          <w:kern w:val="0"/>
          <w:sz w:val="24"/>
          <w:szCs w:val="24"/>
          <w:u w:val="single"/>
        </w:rPr>
        <w:t>：（填写自然人的“个人账户的开户银行全称”）</w:t>
      </w:r>
      <w:r>
        <w:rPr>
          <w:rFonts w:ascii="宋体" w:hAnsi="宋体" w:eastAsia="宋体" w:cs="宋体"/>
          <w:kern w:val="0"/>
          <w:sz w:val="24"/>
          <w:szCs w:val="24"/>
        </w:rPr>
        <w:t>出具的资信证明复印件，上述证明材料真实有效，否则我方负全部责任。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1、请投标人按照实际情况编制填写，在相应的（）中打“√”并选择相应的“□”（若有）后，再按照本格式的要求提供相应证明材料的复印件。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2、投标人提供的财务报告复印件（成立年限按照投标截止时间推算）应符合下列规定：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2.1成立年限满1年及以上的投标人，提供经审计的招标文件规定的年度财务报告。</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2.2成立年限满半年但不足1年的投标人，提供该半年度中任一季度的季度财务报告或该半年度的半年度财务报告。</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依法缴纳税收证明材料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1、依法缴纳税收的投标人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）法人（包括企业、事业单位和社会团体）的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现附上自</w:t>
      </w:r>
      <w:r>
        <w:rPr>
          <w:rFonts w:ascii="宋体" w:hAnsi="宋体" w:eastAsia="宋体" w:cs="宋体"/>
          <w:kern w:val="0"/>
          <w:sz w:val="24"/>
          <w:szCs w:val="24"/>
          <w:u w:val="single"/>
        </w:rPr>
        <w:t>　　年　　月　　日</w:t>
      </w:r>
      <w:r>
        <w:rPr>
          <w:rFonts w:ascii="宋体" w:hAnsi="宋体" w:eastAsia="宋体" w:cs="宋体"/>
          <w:kern w:val="0"/>
          <w:sz w:val="24"/>
          <w:szCs w:val="24"/>
        </w:rPr>
        <w:t>至</w:t>
      </w:r>
      <w:r>
        <w:rPr>
          <w:rFonts w:ascii="宋体" w:hAnsi="宋体" w:eastAsia="宋体" w:cs="宋体"/>
          <w:kern w:val="0"/>
          <w:sz w:val="24"/>
          <w:szCs w:val="24"/>
          <w:u w:val="single"/>
        </w:rPr>
        <w:t>　　年　　月　　日</w:t>
      </w:r>
      <w:r>
        <w:rPr>
          <w:rFonts w:ascii="宋体" w:hAnsi="宋体" w:eastAsia="宋体" w:cs="宋体"/>
          <w:kern w:val="0"/>
          <w:sz w:val="24"/>
          <w:szCs w:val="24"/>
        </w:rPr>
        <w:t>期间我方缴纳（包括但不限于税务机关出具的专用收据、税收缴纳证明或税收代缴银行的缴款收讫凭证）等税收凭据复印件，上述证明材料真实有效，否则我方负全部责任。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）非法人（包括其他组织、自然人）的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现附上自</w:t>
      </w:r>
      <w:r>
        <w:rPr>
          <w:rFonts w:ascii="宋体" w:hAnsi="宋体" w:eastAsia="宋体" w:cs="宋体"/>
          <w:kern w:val="0"/>
          <w:sz w:val="24"/>
          <w:szCs w:val="24"/>
          <w:u w:val="single"/>
        </w:rPr>
        <w:t>　　年　　月　　日</w:t>
      </w:r>
      <w:r>
        <w:rPr>
          <w:rFonts w:ascii="宋体" w:hAnsi="宋体" w:eastAsia="宋体" w:cs="宋体"/>
          <w:kern w:val="0"/>
          <w:sz w:val="24"/>
          <w:szCs w:val="24"/>
        </w:rPr>
        <w:t>至</w:t>
      </w:r>
      <w:r>
        <w:rPr>
          <w:rFonts w:ascii="宋体" w:hAnsi="宋体" w:eastAsia="宋体" w:cs="宋体"/>
          <w:kern w:val="0"/>
          <w:sz w:val="24"/>
          <w:szCs w:val="24"/>
          <w:u w:val="single"/>
        </w:rPr>
        <w:t>　　年　　月　　日</w:t>
      </w:r>
      <w:r>
        <w:rPr>
          <w:rFonts w:ascii="宋体" w:hAnsi="宋体" w:eastAsia="宋体" w:cs="宋体"/>
          <w:kern w:val="0"/>
          <w:sz w:val="24"/>
          <w:szCs w:val="24"/>
        </w:rPr>
        <w:t>期间我方缴纳（包括但不限于税务机关出具的专用收据、税收缴纳证明或税收代缴银行的缴款收讫凭证）等税收凭据复印件，上述证明材料真实有效，否则我方负全部责任。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2、依法免税的投标人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）现附上我方依法免税的证明材料复印件，上述证明材料真实有效，否则我方负全部责任。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1、请投标人按照实际情况编制填写，在相应的（）中打“√”，并按照本格式的要求提供相应证明材料的复印件。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2、投标人提供的税收缴纳凭据复印件应符合下列规定：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2.1投标截止时间前（不含投标截止时间的当月）已依法缴纳税收的投标人，提供投标截止时间前六个月（不含投标截止时间的当月）中任一月份的税收缴纳凭据复印件。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2.2投标截止时间的当月成立的投标人，视同满足本项资格条件要求。</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3、若为依法免税范围的投标人，提供依法免税证明材料的，视同满足本项资格条件要求。</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依法缴纳社会保障资金证明材料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1、依法缴纳社会保障资金的投标人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）法人（包括企业、事业单位和社会团体）的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现附上自</w:t>
      </w:r>
      <w:r>
        <w:rPr>
          <w:rFonts w:ascii="宋体" w:hAnsi="宋体" w:eastAsia="宋体" w:cs="宋体"/>
          <w:kern w:val="0"/>
          <w:sz w:val="24"/>
          <w:szCs w:val="24"/>
          <w:u w:val="single"/>
        </w:rPr>
        <w:t>　　年　　月　　日</w:t>
      </w:r>
      <w:r>
        <w:rPr>
          <w:rFonts w:ascii="宋体" w:hAnsi="宋体" w:eastAsia="宋体" w:cs="宋体"/>
          <w:kern w:val="0"/>
          <w:sz w:val="24"/>
          <w:szCs w:val="24"/>
        </w:rPr>
        <w:t>至</w:t>
      </w:r>
      <w:r>
        <w:rPr>
          <w:rFonts w:ascii="宋体" w:hAnsi="宋体" w:eastAsia="宋体" w:cs="宋体"/>
          <w:kern w:val="0"/>
          <w:sz w:val="24"/>
          <w:szCs w:val="24"/>
          <w:u w:val="single"/>
        </w:rPr>
        <w:t>　　年　　月　　日</w:t>
      </w:r>
      <w:r>
        <w:rPr>
          <w:rFonts w:ascii="宋体" w:hAnsi="宋体" w:eastAsia="宋体" w:cs="宋体"/>
          <w:kern w:val="0"/>
          <w:sz w:val="24"/>
          <w:szCs w:val="24"/>
        </w:rPr>
        <w:t>我方缴纳的社会保险凭据（限：税务机关/社会保障资金管理机关的专用收据或社会保险缴纳清单，或社会保险的银行缴款收讫凭证）复印件，上述证明材料真实有效，否则我方负全部责任。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）非法人（包括其他组织、自然人）的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自</w:t>
      </w:r>
      <w:r>
        <w:rPr>
          <w:rFonts w:ascii="宋体" w:hAnsi="宋体" w:eastAsia="宋体" w:cs="宋体"/>
          <w:kern w:val="0"/>
          <w:sz w:val="24"/>
          <w:szCs w:val="24"/>
          <w:u w:val="single"/>
        </w:rPr>
        <w:t>　　年　　月　　日</w:t>
      </w:r>
      <w:r>
        <w:rPr>
          <w:rFonts w:ascii="宋体" w:hAnsi="宋体" w:eastAsia="宋体" w:cs="宋体"/>
          <w:kern w:val="0"/>
          <w:sz w:val="24"/>
          <w:szCs w:val="24"/>
        </w:rPr>
        <w:t>至</w:t>
      </w:r>
      <w:r>
        <w:rPr>
          <w:rFonts w:ascii="宋体" w:hAnsi="宋体" w:eastAsia="宋体" w:cs="宋体"/>
          <w:kern w:val="0"/>
          <w:sz w:val="24"/>
          <w:szCs w:val="24"/>
          <w:u w:val="single"/>
        </w:rPr>
        <w:t>　　年　　月　　日</w:t>
      </w:r>
      <w:r>
        <w:rPr>
          <w:rFonts w:ascii="宋体" w:hAnsi="宋体" w:eastAsia="宋体" w:cs="宋体"/>
          <w:kern w:val="0"/>
          <w:sz w:val="24"/>
          <w:szCs w:val="24"/>
        </w:rPr>
        <w:t>我方缴纳的社会保险凭据（限：税务机关/社会保障资金管理机关的专用收据或社会保险缴纳清单，或社会保险的银行缴款收讫凭证）复印件，上述证明材料真实有效，否则我方负全部责任。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2、依法不需要缴纳或暂缓缴纳社会保障资金的投标人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）现附上我方依法不需要缴纳或暂缓缴纳社会保障资金证明材料复印件，上述证明材料真实有效，否则我方负全部责任。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1、请投标人按照实际情况编制填写，在相应的（）中打“√”，并按照本格式的要求提供相应证明材料的复印件。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2、投标人提供的社会保障资金缴纳凭据复印件应符合下列规定：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2.1投标截止时间前（不含投标截止时间的当月）已依法缴纳社会保障资金的投标人，提供投标截止时间前六个月（不含投标截止时间的当月）中任一月份的社会保障资金缴纳凭据复印件。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2.2投标截止时间的当月成立的投标人，视同满足本项资格条件要求。</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3、若为依法不需要缴纳或暂缓缴纳社会保障资金的投标人，提供依法不需要缴纳或暂缓缴纳社会保障资金证明材料的，视同满足本项资格条件要求。</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具备履行合同所必需设备和专业技术能力的声明函（若有）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我方具备履行合同所必需的设备和专业技术能力，否则产生不利后果由我方承担责任。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特此声明。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1、招标文件未要求投标人提供“具备履行合同所必需的设备和专业技术能力专项证明材料”的，投标人应提供本声明函。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2、招标文件要求投标人提供“具备履行合同所必需的设备和专业技术能力专项证明材料”的，投标人可不提供本声明函。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3、请投标人根据实际情况如实声明，否则视为提供虚假材料。</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参加采购活动前三年内在经营活动中没有重大违法记录书面声明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特此声明。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请投标人根据实际情况如实声明，否则视为提供虚假材料。</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二-3信用记录查询提示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1、由资格审查小组通过网站查询并打印投标人的信用记录。</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二-4中小企业声明函</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（以资格条件落实中小企业扶持政策时适用，若有）</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中小企业声明函（货物）</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本公司（联合体）郑重声明，根据《政府采购促进中小企业发展管理办法》（财库﹝2020﹞46 号）的规定，本公司（联合体）参加</w:t>
      </w:r>
      <w:r>
        <w:rPr>
          <w:rFonts w:ascii="宋体" w:hAnsi="宋体" w:eastAsia="宋体" w:cs="宋体"/>
          <w:kern w:val="0"/>
          <w:sz w:val="24"/>
          <w:szCs w:val="24"/>
          <w:u w:val="single"/>
        </w:rPr>
        <w:t>（单位名称）</w:t>
      </w:r>
      <w:r>
        <w:rPr>
          <w:rFonts w:ascii="宋体" w:hAnsi="宋体" w:eastAsia="宋体" w:cs="宋体"/>
          <w:kern w:val="0"/>
          <w:sz w:val="24"/>
          <w:szCs w:val="24"/>
        </w:rPr>
        <w:t>的</w:t>
      </w:r>
      <w:r>
        <w:rPr>
          <w:rFonts w:ascii="宋体" w:hAnsi="宋体" w:eastAsia="宋体" w:cs="宋体"/>
          <w:kern w:val="0"/>
          <w:sz w:val="24"/>
          <w:szCs w:val="24"/>
          <w:u w:val="single"/>
        </w:rPr>
        <w:t>（项目名称）</w:t>
      </w:r>
      <w:r>
        <w:rPr>
          <w:rFonts w:ascii="宋体" w:hAnsi="宋体" w:eastAsia="宋体" w:cs="宋体"/>
          <w:kern w:val="0"/>
          <w:sz w:val="24"/>
          <w:szCs w:val="24"/>
        </w:rPr>
        <w:t>采购活动，提供的货物全部由符合政策要求的中小企业制造。相关企业（含联合体中的中小企业、签订分包意向协议的中小企业）的具体情况如下：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w:t>
      </w:r>
      <w:r>
        <w:rPr>
          <w:rFonts w:ascii="宋体" w:hAnsi="宋体" w:eastAsia="宋体" w:cs="宋体"/>
          <w:kern w:val="0"/>
          <w:sz w:val="24"/>
          <w:szCs w:val="24"/>
          <w:u w:val="single"/>
        </w:rPr>
        <w:t> （标的名称） </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行业；制造商为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万元¹，属于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w:t>
      </w:r>
      <w:r>
        <w:rPr>
          <w:rFonts w:ascii="宋体" w:hAnsi="宋体" w:eastAsia="宋体" w:cs="宋体"/>
          <w:kern w:val="0"/>
          <w:sz w:val="24"/>
          <w:szCs w:val="24"/>
          <w:u w:val="single"/>
        </w:rPr>
        <w:t> （标的名称） </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行业；制造商为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以上企业，不属于大企业的分支机构，不存在控股股东为大企业的情形，也不存在与大企业的负责人为同一人的情形。</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本企业对上述声明内容的真实性负责。如有虚假，将依法承担相应责任。</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1、从业人员、营业收入、资产总额填报上一年度数据，无上一年度数据的新成立企业可不填报。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中小企业声明函（工程、服务）</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本公司（联合体）郑重声明，根据《政府采购促进中小企业发展管理办法》（财库﹝2020﹞46 号）的规定，本公司（联合体）参加</w:t>
      </w:r>
      <w:r>
        <w:rPr>
          <w:rFonts w:ascii="宋体" w:hAnsi="宋体" w:eastAsia="宋体" w:cs="宋体"/>
          <w:kern w:val="0"/>
          <w:sz w:val="24"/>
          <w:szCs w:val="24"/>
          <w:u w:val="single"/>
        </w:rPr>
        <w:t>（单位名称）</w:t>
      </w:r>
      <w:r>
        <w:rPr>
          <w:rFonts w:ascii="宋体" w:hAnsi="宋体" w:eastAsia="宋体" w:cs="宋体"/>
          <w:kern w:val="0"/>
          <w:sz w:val="24"/>
          <w:szCs w:val="24"/>
        </w:rPr>
        <w:t>的</w:t>
      </w:r>
      <w:r>
        <w:rPr>
          <w:rFonts w:ascii="宋体" w:hAnsi="宋体" w:eastAsia="宋体" w:cs="宋体"/>
          <w:kern w:val="0"/>
          <w:sz w:val="24"/>
          <w:szCs w:val="24"/>
          <w:u w:val="single"/>
        </w:rPr>
        <w:t>（项目名称）</w:t>
      </w:r>
      <w:r>
        <w:rPr>
          <w:rFonts w:ascii="宋体" w:hAnsi="宋体" w:eastAsia="宋体" w:cs="宋体"/>
          <w:kern w:val="0"/>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w:t>
      </w:r>
      <w:r>
        <w:rPr>
          <w:rFonts w:ascii="宋体" w:hAnsi="宋体" w:eastAsia="宋体" w:cs="宋体"/>
          <w:kern w:val="0"/>
          <w:sz w:val="24"/>
          <w:szCs w:val="24"/>
          <w:u w:val="single"/>
        </w:rPr>
        <w:t>（标的名称）</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；承建（承接）企业为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万元¹，属于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w:t>
      </w:r>
      <w:r>
        <w:rPr>
          <w:rFonts w:ascii="宋体" w:hAnsi="宋体" w:eastAsia="宋体" w:cs="宋体"/>
          <w:kern w:val="0"/>
          <w:sz w:val="24"/>
          <w:szCs w:val="24"/>
          <w:u w:val="single"/>
        </w:rPr>
        <w:t>（标的名称）</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；承建（承接）企业为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以上企业，不属于大企业的分支机构，不存在控股股东为大企业的情形，也不存在与大企业的负责人为同一人的情形。</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本企业对上述声明内容的真实性负责。如有虚假，将依法承担相应责任。</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1、从业人员、营业收入、资产总额填报上一年度数据，无上一年度数据的新成立企业可不填报。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残疾人福利性单位声明函</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（以资格条件落实中小企业扶持政策时适用，若有）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）由本投标人承建的（填写“所投采购包、品目号”）工程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）由本投标人承接的（填写“所投采购包、品目号”）服务；</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本投标人对上述声明的真实性负责。如有虚假，将依法承担相应责任。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备注：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1、请投标人按照实际情况编制填写本声明函，并在相应的（）中打“√”。</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2、若《残疾人福利性单位声明函》内容不真实，视为提供虚假材料。</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附：</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监狱企业证明材料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投标人为监狱企业，提供本单位制造的货物（承接的服务），并在电子投标文件中提供省级以上监狱管理局、戒毒管理局（含新疆生产建设兵团）出具的属于监狱企业的证明文件。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二-5联合体协议（若有）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致：</w:t>
      </w:r>
      <w:r>
        <w:rPr>
          <w:rFonts w:ascii="宋体" w:hAnsi="宋体" w:eastAsia="宋体" w:cs="宋体"/>
          <w:kern w:val="0"/>
          <w:sz w:val="24"/>
          <w:szCs w:val="24"/>
          <w:u w:val="single"/>
        </w:rPr>
        <w:t>（采购人或采购代理机构）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兹有</w:t>
      </w:r>
      <w:r>
        <w:rPr>
          <w:rFonts w:ascii="宋体" w:hAnsi="宋体" w:eastAsia="宋体" w:cs="宋体"/>
          <w:kern w:val="0"/>
          <w:sz w:val="24"/>
          <w:szCs w:val="24"/>
          <w:u w:val="single"/>
        </w:rPr>
        <w:t>（填写“联合体中各方的全称”，各方的全称之间请用“、”分割）</w:t>
      </w:r>
      <w:r>
        <w:rPr>
          <w:rFonts w:ascii="宋体" w:hAnsi="宋体" w:eastAsia="宋体" w:cs="宋体"/>
          <w:kern w:val="0"/>
          <w:sz w:val="24"/>
          <w:szCs w:val="24"/>
        </w:rPr>
        <w:t>自愿组成联合体，共同参加</w:t>
      </w:r>
      <w:r>
        <w:rPr>
          <w:rFonts w:ascii="宋体" w:hAnsi="宋体" w:eastAsia="宋体" w:cs="宋体"/>
          <w:kern w:val="0"/>
          <w:sz w:val="24"/>
          <w:szCs w:val="24"/>
          <w:u w:val="single"/>
        </w:rPr>
        <w:t>（填写“项目名称”）</w:t>
      </w:r>
      <w:r>
        <w:rPr>
          <w:rFonts w:ascii="宋体" w:hAnsi="宋体" w:eastAsia="宋体" w:cs="宋体"/>
          <w:kern w:val="0"/>
          <w:sz w:val="24"/>
          <w:szCs w:val="24"/>
        </w:rPr>
        <w:t> 项目（项目编号：</w:t>
      </w:r>
      <w:r>
        <w:rPr>
          <w:rFonts w:ascii="宋体" w:hAnsi="宋体" w:eastAsia="宋体" w:cs="宋体"/>
          <w:kern w:val="0"/>
          <w:sz w:val="24"/>
          <w:szCs w:val="24"/>
          <w:u w:val="single"/>
        </w:rPr>
        <w:t>　　　　　　</w:t>
      </w:r>
      <w:r>
        <w:rPr>
          <w:rFonts w:ascii="宋体" w:hAnsi="宋体" w:eastAsia="宋体" w:cs="宋体"/>
          <w:kern w:val="0"/>
          <w:sz w:val="24"/>
          <w:szCs w:val="24"/>
        </w:rPr>
        <w:t>）的投标。现就联合体参加本项目投标的有关事宜达成下列协议：</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一、联合体各方应承担的工作和义务具体如下：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1、牵头方（全称）：</w:t>
      </w:r>
      <w:r>
        <w:rPr>
          <w:rFonts w:ascii="宋体" w:hAnsi="宋体" w:eastAsia="宋体" w:cs="宋体"/>
          <w:kern w:val="0"/>
          <w:sz w:val="24"/>
          <w:szCs w:val="24"/>
          <w:u w:val="single"/>
        </w:rPr>
        <w:t>（填写“工作及义务的具体内容”） </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2、成员方：</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2.1（成员一的全称）：</w:t>
      </w:r>
      <w:r>
        <w:rPr>
          <w:rFonts w:ascii="宋体" w:hAnsi="宋体" w:eastAsia="宋体" w:cs="宋体"/>
          <w:kern w:val="0"/>
          <w:sz w:val="24"/>
          <w:szCs w:val="24"/>
          <w:u w:val="single"/>
        </w:rPr>
        <w:t>（填写“工作及义务的具体内容”）</w:t>
      </w:r>
      <w:r>
        <w:rPr>
          <w:rFonts w:ascii="宋体" w:hAnsi="宋体" w:eastAsia="宋体" w:cs="宋体"/>
          <w:kern w:val="0"/>
          <w:sz w:val="24"/>
          <w:szCs w:val="24"/>
        </w:rPr>
        <w:t> ；</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二、联合体各方的合同金额占比，具体如下：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1.牵头方（</w:t>
      </w:r>
      <w:r>
        <w:rPr>
          <w:rFonts w:ascii="宋体" w:hAnsi="宋体" w:eastAsia="宋体" w:cs="宋体"/>
          <w:kern w:val="0"/>
          <w:sz w:val="24"/>
          <w:szCs w:val="24"/>
          <w:u w:val="single"/>
        </w:rPr>
        <w:t> 全称</w:t>
      </w:r>
      <w:r>
        <w:rPr>
          <w:rFonts w:ascii="宋体" w:hAnsi="宋体" w:eastAsia="宋体" w:cs="宋体"/>
          <w:kern w:val="0"/>
          <w:sz w:val="24"/>
          <w:szCs w:val="24"/>
        </w:rPr>
        <w:t> ）的合同金额占合同总额的</w:t>
      </w:r>
      <w:r>
        <w:rPr>
          <w:rFonts w:ascii="宋体" w:hAnsi="宋体" w:eastAsia="宋体" w:cs="宋体"/>
          <w:kern w:val="0"/>
          <w:sz w:val="24"/>
          <w:szCs w:val="24"/>
          <w:u w:val="single"/>
        </w:rPr>
        <w:t>　　</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2.成员方：</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2.1（</w:t>
      </w:r>
      <w:r>
        <w:rPr>
          <w:rFonts w:ascii="宋体" w:hAnsi="宋体" w:eastAsia="宋体" w:cs="宋体"/>
          <w:kern w:val="0"/>
          <w:sz w:val="24"/>
          <w:szCs w:val="24"/>
          <w:u w:val="single"/>
        </w:rPr>
        <w:t> 成员1的全称 </w:t>
      </w:r>
      <w:r>
        <w:rPr>
          <w:rFonts w:ascii="宋体" w:hAnsi="宋体" w:eastAsia="宋体" w:cs="宋体"/>
          <w:kern w:val="0"/>
          <w:sz w:val="24"/>
          <w:szCs w:val="24"/>
        </w:rPr>
        <w:t>）的合同金额占合同总额的</w:t>
      </w:r>
      <w:r>
        <w:rPr>
          <w:rFonts w:ascii="宋体" w:hAnsi="宋体" w:eastAsia="宋体" w:cs="宋体"/>
          <w:kern w:val="0"/>
          <w:sz w:val="24"/>
          <w:szCs w:val="24"/>
          <w:u w:val="single"/>
        </w:rPr>
        <w:t>　　</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三、联合体各方约定：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1、由</w:t>
      </w:r>
      <w:r>
        <w:rPr>
          <w:rFonts w:ascii="宋体" w:hAnsi="宋体" w:eastAsia="宋体" w:cs="宋体"/>
          <w:kern w:val="0"/>
          <w:sz w:val="24"/>
          <w:szCs w:val="24"/>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2、联合体各方约定由</w:t>
      </w:r>
      <w:r>
        <w:rPr>
          <w:rFonts w:ascii="宋体" w:hAnsi="宋体" w:eastAsia="宋体" w:cs="宋体"/>
          <w:kern w:val="0"/>
          <w:sz w:val="24"/>
          <w:szCs w:val="24"/>
          <w:u w:val="single"/>
        </w:rPr>
        <w:t>（填写“牵头方的全称”）代表联合体办理投标保证金事宜。</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四、若中标，牵头方将代表联合体与采购人就合同签订事宜进行协商；若协商一致，则联合体各方将共同与采购人签订政府采购合同，并就政府采购合同约定的事项对采购人承担连带责任。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五、本协议自签署之日起生效，政府采购合同履行完毕后自动失效。</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六、本协议一式</w:t>
      </w:r>
      <w:r>
        <w:rPr>
          <w:rFonts w:ascii="宋体" w:hAnsi="宋体" w:eastAsia="宋体" w:cs="宋体"/>
          <w:kern w:val="0"/>
          <w:sz w:val="24"/>
          <w:szCs w:val="24"/>
          <w:u w:val="single"/>
        </w:rPr>
        <w:t>（填写具体份数）</w:t>
      </w:r>
      <w:r>
        <w:rPr>
          <w:rFonts w:ascii="宋体" w:hAnsi="宋体" w:eastAsia="宋体" w:cs="宋体"/>
          <w:kern w:val="0"/>
          <w:sz w:val="24"/>
          <w:szCs w:val="24"/>
        </w:rPr>
        <w:t>份，联合体各方各执一份，电子投标文件中提交一份。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（以下无正文）</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牵头方：</w:t>
      </w:r>
      <w:r>
        <w:rPr>
          <w:rFonts w:ascii="宋体" w:hAnsi="宋体" w:eastAsia="宋体" w:cs="宋体"/>
          <w:kern w:val="0"/>
          <w:sz w:val="24"/>
          <w:szCs w:val="24"/>
          <w:u w:val="single"/>
        </w:rPr>
        <w:t>（全称并加盖单位公章）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法定代表人或其委托代理人：</w:t>
      </w:r>
      <w:r>
        <w:rPr>
          <w:rFonts w:ascii="宋体" w:hAnsi="宋体" w:eastAsia="宋体" w:cs="宋体"/>
          <w:kern w:val="0"/>
          <w:sz w:val="24"/>
          <w:szCs w:val="24"/>
          <w:u w:val="single"/>
        </w:rPr>
        <w:t> （签字或盖章）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成员一：</w:t>
      </w:r>
      <w:r>
        <w:rPr>
          <w:rFonts w:ascii="宋体" w:hAnsi="宋体" w:eastAsia="宋体" w:cs="宋体"/>
          <w:kern w:val="0"/>
          <w:sz w:val="24"/>
          <w:szCs w:val="24"/>
          <w:u w:val="single"/>
        </w:rPr>
        <w:t>（全称并加盖成员一的单位公章）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法定代表人或其委托代理人：</w:t>
      </w:r>
      <w:r>
        <w:rPr>
          <w:rFonts w:ascii="宋体" w:hAnsi="宋体" w:eastAsia="宋体" w:cs="宋体"/>
          <w:kern w:val="0"/>
          <w:sz w:val="24"/>
          <w:szCs w:val="24"/>
          <w:u w:val="single"/>
        </w:rPr>
        <w:t> （签字或盖章）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成员**：</w:t>
      </w:r>
      <w:r>
        <w:rPr>
          <w:rFonts w:ascii="宋体" w:hAnsi="宋体" w:eastAsia="宋体" w:cs="宋体"/>
          <w:kern w:val="0"/>
          <w:sz w:val="24"/>
          <w:szCs w:val="24"/>
          <w:u w:val="single"/>
        </w:rPr>
        <w:t>（全称并加盖成员**的单位公章）</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法定代表人或其委托代理人：</w:t>
      </w:r>
      <w:r>
        <w:rPr>
          <w:rFonts w:ascii="宋体" w:hAnsi="宋体" w:eastAsia="宋体" w:cs="宋体"/>
          <w:kern w:val="0"/>
          <w:sz w:val="24"/>
          <w:szCs w:val="24"/>
          <w:u w:val="single"/>
        </w:rPr>
        <w:t> （签字或盖章）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签署日期：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1、招标文件接受联合体投标且投标人为联合体的，投标人应提供本协议；否则无须提供。</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2、本协议由委托代理人签字或盖章的，应按照本章载明的格式提供“单位授权书”。</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3、在以联合体形式落实中小企业预留份额项目中，投标人除了要提供《中小企业声明函》，还需提供本协议。</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二-6分包意向协议（若有）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甲方（总包方）：</w:t>
      </w:r>
      <w:r>
        <w:rPr>
          <w:rFonts w:ascii="宋体" w:hAnsi="宋体" w:eastAsia="宋体" w:cs="宋体"/>
          <w:kern w:val="0"/>
          <w:sz w:val="24"/>
          <w:szCs w:val="24"/>
          <w:u w:val="single"/>
        </w:rPr>
        <w:t>　　　　　　　</w:t>
      </w:r>
      <w:r>
        <w:rPr>
          <w:rFonts w:ascii="宋体" w:hAnsi="宋体" w:eastAsia="宋体" w:cs="宋体"/>
          <w:kern w:val="0"/>
          <w:sz w:val="24"/>
          <w:szCs w:val="24"/>
        </w:rPr>
        <w:t>（即本项目的投标人）</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乙方（分包方）：</w:t>
      </w:r>
      <w:r>
        <w:rPr>
          <w:rFonts w:ascii="宋体" w:hAnsi="宋体" w:eastAsia="宋体" w:cs="宋体"/>
          <w:kern w:val="0"/>
          <w:sz w:val="24"/>
          <w:szCs w:val="24"/>
          <w:u w:val="single"/>
        </w:rPr>
        <w:t>　　　　　　　</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兹有甲方参加</w:t>
      </w:r>
      <w:r>
        <w:rPr>
          <w:rFonts w:ascii="宋体" w:hAnsi="宋体" w:eastAsia="宋体" w:cs="宋体"/>
          <w:kern w:val="0"/>
          <w:sz w:val="24"/>
          <w:szCs w:val="24"/>
          <w:u w:val="single"/>
        </w:rPr>
        <w:t>（填写“项目名称”）</w:t>
      </w:r>
      <w:r>
        <w:rPr>
          <w:rFonts w:ascii="宋体" w:hAnsi="宋体" w:eastAsia="宋体" w:cs="宋体"/>
          <w:kern w:val="0"/>
          <w:sz w:val="24"/>
          <w:szCs w:val="24"/>
        </w:rPr>
        <w:t> 项目（项目编号：</w:t>
      </w:r>
      <w:r>
        <w:rPr>
          <w:rFonts w:ascii="宋体" w:hAnsi="宋体" w:eastAsia="宋体" w:cs="宋体"/>
          <w:kern w:val="0"/>
          <w:sz w:val="24"/>
          <w:szCs w:val="24"/>
          <w:u w:val="single"/>
        </w:rPr>
        <w:t>　　　　　　　</w:t>
      </w:r>
      <w:r>
        <w:rPr>
          <w:rFonts w:ascii="宋体" w:hAnsi="宋体" w:eastAsia="宋体" w:cs="宋体"/>
          <w:kern w:val="0"/>
          <w:sz w:val="24"/>
          <w:szCs w:val="24"/>
        </w:rPr>
        <w:t>）的政府采购活动。甲方期望将采购项目的部分采购标的分包给乙方完成，而乙方保证能够向甲方提供本协议项下的采购标的，甲、乙双方就合同分包的有关事宜达成下列协议：</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一、分包标的</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u w:val="single"/>
        </w:rPr>
        <w:t>（根据双方的意向填写，可以是表格或文字描述）。</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二、分包合同金额占比</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分包合同价占投标总价的比例：</w:t>
      </w:r>
      <w:r>
        <w:rPr>
          <w:rFonts w:ascii="宋体" w:hAnsi="宋体" w:eastAsia="宋体" w:cs="宋体"/>
          <w:kern w:val="0"/>
          <w:sz w:val="24"/>
          <w:szCs w:val="24"/>
          <w:u w:val="single"/>
        </w:rPr>
        <w:t>　　　　　</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三、其他条款</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3"/>
        <w:tblW w:w="9878" w:type="dxa"/>
        <w:tblInd w:w="0" w:type="dxa"/>
        <w:tblLayout w:type="fixed"/>
        <w:tblCellMar>
          <w:top w:w="0" w:type="dxa"/>
          <w:left w:w="0" w:type="dxa"/>
          <w:bottom w:w="0" w:type="dxa"/>
          <w:right w:w="0" w:type="dxa"/>
        </w:tblCellMar>
      </w:tblPr>
      <w:tblGrid>
        <w:gridCol w:w="4939"/>
        <w:gridCol w:w="4939"/>
      </w:tblGrid>
      <w:tr>
        <w:tblPrEx>
          <w:tblLayout w:type="fixed"/>
          <w:tblCellMar>
            <w:top w:w="0" w:type="dxa"/>
            <w:left w:w="0" w:type="dxa"/>
            <w:bottom w:w="0" w:type="dxa"/>
            <w:right w:w="0" w:type="dxa"/>
          </w:tblCellMar>
        </w:tblPrEx>
        <w:trPr>
          <w:trHeight w:val="567" w:hRule="atLeast"/>
        </w:trPr>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甲方：</w:t>
            </w:r>
          </w:p>
        </w:tc>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乙方：</w:t>
            </w:r>
          </w:p>
        </w:tc>
      </w:tr>
      <w:tr>
        <w:tblPrEx>
          <w:tblLayout w:type="fixed"/>
          <w:tblCellMar>
            <w:top w:w="0" w:type="dxa"/>
            <w:left w:w="0" w:type="dxa"/>
            <w:bottom w:w="0" w:type="dxa"/>
            <w:right w:w="0" w:type="dxa"/>
          </w:tblCellMar>
        </w:tblPrEx>
        <w:trPr>
          <w:trHeight w:val="567" w:hRule="atLeast"/>
        </w:trPr>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住所：</w:t>
            </w:r>
          </w:p>
        </w:tc>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住所：</w:t>
            </w:r>
          </w:p>
        </w:tc>
      </w:tr>
      <w:tr>
        <w:tblPrEx>
          <w:tblLayout w:type="fixed"/>
          <w:tblCellMar>
            <w:top w:w="0" w:type="dxa"/>
            <w:left w:w="0" w:type="dxa"/>
            <w:bottom w:w="0" w:type="dxa"/>
            <w:right w:w="0" w:type="dxa"/>
          </w:tblCellMar>
        </w:tblPrEx>
        <w:trPr>
          <w:trHeight w:val="567" w:hRule="atLeast"/>
        </w:trPr>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单位负责人或委托代理人：</w:t>
            </w:r>
          </w:p>
        </w:tc>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单位负责人或委托代理人：</w:t>
            </w:r>
          </w:p>
        </w:tc>
      </w:tr>
      <w:tr>
        <w:tblPrEx>
          <w:tblLayout w:type="fixed"/>
          <w:tblCellMar>
            <w:top w:w="0" w:type="dxa"/>
            <w:left w:w="0" w:type="dxa"/>
            <w:bottom w:w="0" w:type="dxa"/>
            <w:right w:w="0" w:type="dxa"/>
          </w:tblCellMar>
        </w:tblPrEx>
        <w:trPr>
          <w:trHeight w:val="567" w:hRule="atLeast"/>
        </w:trPr>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联系方法：</w:t>
            </w:r>
          </w:p>
        </w:tc>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联系方法：</w:t>
            </w:r>
          </w:p>
        </w:tc>
      </w:tr>
      <w:tr>
        <w:tblPrEx>
          <w:tblLayout w:type="fixed"/>
          <w:tblCellMar>
            <w:top w:w="0" w:type="dxa"/>
            <w:left w:w="0" w:type="dxa"/>
            <w:bottom w:w="0" w:type="dxa"/>
            <w:right w:w="0" w:type="dxa"/>
          </w:tblCellMar>
        </w:tblPrEx>
        <w:trPr>
          <w:trHeight w:val="567" w:hRule="atLeast"/>
        </w:trPr>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开户银行：</w:t>
            </w:r>
          </w:p>
        </w:tc>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开户银行：</w:t>
            </w:r>
          </w:p>
        </w:tc>
      </w:tr>
      <w:tr>
        <w:tblPrEx>
          <w:tblLayout w:type="fixed"/>
          <w:tblCellMar>
            <w:top w:w="0" w:type="dxa"/>
            <w:left w:w="0" w:type="dxa"/>
            <w:bottom w:w="0" w:type="dxa"/>
            <w:right w:w="0" w:type="dxa"/>
          </w:tblCellMar>
        </w:tblPrEx>
        <w:trPr>
          <w:trHeight w:val="567" w:hRule="atLeast"/>
        </w:trPr>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账号：</w:t>
            </w:r>
          </w:p>
        </w:tc>
        <w:tc>
          <w:tcPr>
            <w:tcW w:w="49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账号：</w:t>
            </w:r>
          </w:p>
        </w:tc>
      </w:tr>
      <w:tr>
        <w:tblPrEx>
          <w:tblLayout w:type="fixed"/>
          <w:tblCellMar>
            <w:top w:w="0" w:type="dxa"/>
            <w:left w:w="0" w:type="dxa"/>
            <w:bottom w:w="0" w:type="dxa"/>
            <w:right w:w="0" w:type="dxa"/>
          </w:tblCellMar>
        </w:tblPrEx>
        <w:trPr>
          <w:trHeight w:val="567" w:hRule="atLeast"/>
        </w:trPr>
        <w:tc>
          <w:tcPr>
            <w:tcW w:w="9878" w:type="dxa"/>
            <w:gridSpan w:val="2"/>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right"/>
              <w:rPr>
                <w:rFonts w:ascii="宋体" w:hAnsi="宋体" w:eastAsia="宋体" w:cs="宋体"/>
                <w:kern w:val="0"/>
                <w:sz w:val="24"/>
                <w:szCs w:val="24"/>
              </w:rPr>
            </w:pPr>
            <w:r>
              <w:rPr>
                <w:rFonts w:ascii="宋体" w:hAnsi="宋体" w:eastAsia="宋体" w:cs="宋体"/>
                <w:kern w:val="0"/>
                <w:sz w:val="24"/>
                <w:szCs w:val="24"/>
              </w:rPr>
              <w:t>签订地点：</w:t>
            </w:r>
            <w:r>
              <w:rPr>
                <w:rFonts w:ascii="宋体" w:hAnsi="宋体" w:eastAsia="宋体" w:cs="宋体"/>
                <w:kern w:val="0"/>
                <w:sz w:val="24"/>
                <w:szCs w:val="24"/>
                <w:u w:val="single"/>
              </w:rPr>
              <w:t>　　　　　　　　　　</w:t>
            </w:r>
          </w:p>
          <w:p>
            <w:pPr>
              <w:widowControl/>
              <w:wordWrap w:val="0"/>
              <w:jc w:val="right"/>
              <w:rPr>
                <w:rFonts w:ascii="宋体" w:hAnsi="宋体" w:eastAsia="宋体" w:cs="宋体"/>
                <w:kern w:val="0"/>
                <w:sz w:val="24"/>
                <w:szCs w:val="24"/>
              </w:rPr>
            </w:pPr>
            <w:r>
              <w:rPr>
                <w:rFonts w:ascii="宋体" w:hAnsi="宋体" w:eastAsia="宋体" w:cs="宋体"/>
                <w:kern w:val="0"/>
                <w:sz w:val="24"/>
                <w:szCs w:val="24"/>
              </w:rPr>
              <w:t>签约日期：</w:t>
            </w:r>
            <w:r>
              <w:rPr>
                <w:rFonts w:ascii="宋体" w:hAnsi="宋体" w:eastAsia="宋体" w:cs="宋体"/>
                <w:kern w:val="0"/>
                <w:sz w:val="24"/>
                <w:szCs w:val="24"/>
                <w:u w:val="single"/>
              </w:rPr>
              <w:t>　　年　　月　　日</w:t>
            </w:r>
          </w:p>
        </w:tc>
      </w:tr>
    </w:tbl>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1.招标文件接受合同分包且投标人拟将合同分包的，应提供本协议；否则无须提供。</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2.本协议由委托代理人签字或盖章的，应按照本章载明的格式提供“单位授权书”。</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3.在以合同分包形式落实中小企业预留份额项目中，投标人除了要提供《中小企业声明函》，还需提供本协议。</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二-7其他资格证明文件（若有）</w:t>
      </w:r>
    </w:p>
    <w:p>
      <w:pPr>
        <w:widowControl/>
        <w:ind w:firstLine="480" w:firstLineChars="200"/>
        <w:jc w:val="center"/>
        <w:outlineLvl w:val="3"/>
        <w:rPr>
          <w:rFonts w:ascii="宋体" w:hAnsi="宋体" w:eastAsia="宋体" w:cs="宋体"/>
          <w:kern w:val="0"/>
          <w:sz w:val="24"/>
          <w:szCs w:val="24"/>
        </w:rPr>
      </w:pPr>
      <w:r>
        <w:rPr>
          <w:rFonts w:ascii="宋体" w:hAnsi="宋体" w:eastAsia="宋体" w:cs="宋体"/>
          <w:kern w:val="0"/>
          <w:sz w:val="24"/>
          <w:szCs w:val="24"/>
        </w:rPr>
        <w:t>二-7-①招标文件规定的其他资格证明文件（若有）</w:t>
      </w:r>
    </w:p>
    <w:p>
      <w:pPr>
        <w:widowControl/>
        <w:wordWrap w:val="0"/>
        <w:ind w:firstLine="480" w:firstLineChars="200"/>
        <w:jc w:val="center"/>
        <w:rPr>
          <w:rFonts w:ascii="宋体" w:hAnsi="宋体" w:eastAsia="宋体" w:cs="宋体"/>
          <w:kern w:val="0"/>
          <w:sz w:val="24"/>
          <w:szCs w:val="24"/>
        </w:rPr>
      </w:pPr>
      <w:r>
        <w:rPr>
          <w:rFonts w:ascii="宋体" w:hAnsi="宋体" w:eastAsia="宋体" w:cs="宋体"/>
          <w:kern w:val="0"/>
          <w:sz w:val="24"/>
          <w:szCs w:val="24"/>
        </w:rPr>
        <w:t>编制说明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除招标文件另有规定外，招标文件要求提交的除前述资格证明文件外的其他资格证明文件（若有）加盖投标人的单位公章后应在此项下提交。</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三、投标保证金</w:t>
      </w:r>
    </w:p>
    <w:p>
      <w:pPr>
        <w:widowControl/>
        <w:wordWrap w:val="0"/>
        <w:ind w:firstLine="480" w:firstLineChars="200"/>
        <w:jc w:val="center"/>
        <w:rPr>
          <w:rFonts w:ascii="宋体" w:hAnsi="宋体" w:eastAsia="宋体" w:cs="宋体"/>
          <w:kern w:val="0"/>
          <w:sz w:val="24"/>
          <w:szCs w:val="24"/>
        </w:rPr>
      </w:pPr>
      <w:r>
        <w:rPr>
          <w:rFonts w:ascii="宋体" w:hAnsi="宋体" w:eastAsia="宋体" w:cs="宋体"/>
          <w:kern w:val="0"/>
          <w:sz w:val="24"/>
          <w:szCs w:val="24"/>
        </w:rPr>
        <w:t>编制说明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1、在此项下提交的“投标保证金”材料可使用转账凭证复印件或从福建省政府采购网上公开信息系统中下载的有关原始页面的打印件。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2、投标保证金是否已提交的认定按照招标文件第三章规定执行。</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2"/>
        <w:rPr>
          <w:rFonts w:ascii="宋体" w:hAnsi="宋体" w:eastAsia="宋体" w:cs="Noto Sans"/>
          <w:b/>
          <w:bCs/>
          <w:kern w:val="0"/>
          <w:sz w:val="24"/>
          <w:szCs w:val="27"/>
        </w:rPr>
      </w:pPr>
      <w:r>
        <w:rPr>
          <w:rFonts w:ascii="宋体" w:hAnsi="宋体" w:eastAsia="宋体" w:cs="Noto Sans"/>
          <w:b/>
          <w:bCs/>
          <w:kern w:val="0"/>
          <w:sz w:val="36"/>
          <w:szCs w:val="27"/>
        </w:rPr>
        <w:br w:type="page"/>
      </w:r>
      <w:r>
        <w:rPr>
          <w:rFonts w:ascii="宋体" w:hAnsi="宋体" w:eastAsia="宋体" w:cs="Noto Sans"/>
          <w:b/>
          <w:bCs/>
          <w:kern w:val="0"/>
          <w:sz w:val="36"/>
          <w:szCs w:val="27"/>
        </w:rPr>
        <w:t>封面格式(报价部分)</w:t>
      </w:r>
    </w:p>
    <w:p>
      <w:pPr>
        <w:widowControl/>
        <w:ind w:firstLine="562" w:firstLineChars="200"/>
        <w:jc w:val="center"/>
        <w:outlineLvl w:val="0"/>
        <w:rPr>
          <w:rFonts w:ascii="宋体" w:hAnsi="宋体" w:eastAsia="宋体" w:cs="宋体"/>
          <w:b/>
          <w:bCs/>
          <w:kern w:val="36"/>
          <w:sz w:val="28"/>
          <w:szCs w:val="28"/>
        </w:rPr>
      </w:pPr>
      <w:r>
        <w:rPr>
          <w:rFonts w:ascii="宋体" w:hAnsi="宋体" w:eastAsia="宋体" w:cs="宋体"/>
          <w:b/>
          <w:bCs/>
          <w:kern w:val="36"/>
          <w:sz w:val="28"/>
          <w:szCs w:val="28"/>
        </w:rPr>
        <w:t>福建省政府采购投标文件</w:t>
      </w:r>
    </w:p>
    <w:p>
      <w:pPr>
        <w:widowControl/>
        <w:ind w:firstLine="562" w:firstLineChars="200"/>
        <w:jc w:val="center"/>
        <w:outlineLvl w:val="0"/>
        <w:rPr>
          <w:rFonts w:ascii="宋体" w:hAnsi="宋体" w:eastAsia="宋体" w:cs="宋体"/>
          <w:b/>
          <w:bCs/>
          <w:kern w:val="36"/>
          <w:sz w:val="28"/>
          <w:szCs w:val="28"/>
        </w:rPr>
      </w:pPr>
      <w:r>
        <w:rPr>
          <w:rFonts w:ascii="宋体" w:hAnsi="宋体" w:eastAsia="宋体" w:cs="宋体"/>
          <w:b/>
          <w:bCs/>
          <w:kern w:val="36"/>
          <w:sz w:val="28"/>
          <w:szCs w:val="28"/>
        </w:rPr>
        <w:t>（报价部分）</w:t>
      </w:r>
    </w:p>
    <w:p>
      <w:pPr>
        <w:widowControl/>
        <w:ind w:firstLine="560" w:firstLineChars="200"/>
        <w:jc w:val="left"/>
        <w:rPr>
          <w:rFonts w:ascii="宋体" w:hAnsi="宋体" w:eastAsia="宋体" w:cs="宋体"/>
          <w:kern w:val="0"/>
          <w:sz w:val="28"/>
          <w:szCs w:val="28"/>
        </w:rPr>
      </w:pPr>
      <w:r>
        <w:rPr>
          <w:rFonts w:ascii="宋体" w:hAnsi="宋体" w:eastAsia="宋体" w:cs="宋体"/>
          <w:kern w:val="0"/>
          <w:sz w:val="28"/>
          <w:szCs w:val="28"/>
        </w:rPr>
        <w:br w:type="textWrapping"/>
      </w:r>
      <w:r>
        <w:rPr>
          <w:rFonts w:ascii="宋体" w:hAnsi="宋体" w:eastAsia="宋体" w:cs="宋体"/>
          <w:kern w:val="0"/>
          <w:sz w:val="28"/>
          <w:szCs w:val="28"/>
        </w:rPr>
        <w:br w:type="textWrapping"/>
      </w:r>
    </w:p>
    <w:p>
      <w:pPr>
        <w:widowControl/>
        <w:ind w:firstLine="562" w:firstLineChars="200"/>
        <w:jc w:val="center"/>
        <w:outlineLvl w:val="1"/>
        <w:rPr>
          <w:rFonts w:ascii="宋体" w:hAnsi="宋体" w:eastAsia="宋体" w:cs="宋体"/>
          <w:b/>
          <w:bCs/>
          <w:kern w:val="0"/>
          <w:sz w:val="28"/>
          <w:szCs w:val="28"/>
        </w:rPr>
      </w:pPr>
      <w:r>
        <w:rPr>
          <w:rFonts w:ascii="宋体" w:hAnsi="宋体" w:eastAsia="宋体" w:cs="宋体"/>
          <w:b/>
          <w:bCs/>
          <w:kern w:val="0"/>
          <w:sz w:val="28"/>
          <w:szCs w:val="28"/>
        </w:rPr>
        <w:t>（填写正本或副本）</w:t>
      </w:r>
    </w:p>
    <w:p>
      <w:pPr>
        <w:widowControl/>
        <w:ind w:firstLine="560" w:firstLineChars="200"/>
        <w:jc w:val="left"/>
        <w:rPr>
          <w:rFonts w:ascii="宋体" w:hAnsi="宋体" w:eastAsia="宋体" w:cs="宋体"/>
          <w:kern w:val="0"/>
          <w:sz w:val="28"/>
          <w:szCs w:val="28"/>
        </w:rPr>
      </w:pPr>
      <w:r>
        <w:rPr>
          <w:rFonts w:ascii="宋体" w:hAnsi="宋体" w:eastAsia="宋体" w:cs="宋体"/>
          <w:kern w:val="0"/>
          <w:sz w:val="28"/>
          <w:szCs w:val="28"/>
        </w:rPr>
        <w:br w:type="textWrapping"/>
      </w:r>
      <w:r>
        <w:rPr>
          <w:rFonts w:ascii="宋体" w:hAnsi="宋体" w:eastAsia="宋体" w:cs="宋体"/>
          <w:kern w:val="0"/>
          <w:sz w:val="28"/>
          <w:szCs w:val="28"/>
        </w:rPr>
        <w:br w:type="textWrapping"/>
      </w:r>
      <w:r>
        <w:rPr>
          <w:rFonts w:ascii="宋体" w:hAnsi="宋体" w:eastAsia="宋体" w:cs="宋体"/>
          <w:kern w:val="0"/>
          <w:sz w:val="28"/>
          <w:szCs w:val="28"/>
        </w:rPr>
        <w:br w:type="textWrapping"/>
      </w:r>
      <w:r>
        <w:rPr>
          <w:rFonts w:ascii="宋体" w:hAnsi="宋体" w:eastAsia="宋体" w:cs="宋体"/>
          <w:kern w:val="0"/>
          <w:sz w:val="28"/>
          <w:szCs w:val="28"/>
        </w:rPr>
        <w:br w:type="textWrapping"/>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项目名称：（由投标人填写）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备案编号：（由投标人填写）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项目编号：（由投标人填写）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所投采购包：（由投标人填写）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投标人：（填写“全称”）</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（由投标人填写）年（由投标人填写）月</w:t>
      </w:r>
    </w:p>
    <w:p>
      <w:pPr>
        <w:widowControl/>
        <w:shd w:val="clear" w:color="auto" w:fill="FFFFFF"/>
        <w:wordWrap w:val="0"/>
        <w:ind w:firstLine="560" w:firstLineChars="200"/>
        <w:jc w:val="left"/>
        <w:rPr>
          <w:rFonts w:ascii="宋体" w:hAnsi="宋体" w:eastAsia="宋体" w:cs="Noto Sans"/>
          <w:kern w:val="0"/>
          <w:sz w:val="28"/>
          <w:szCs w:val="28"/>
        </w:rPr>
      </w:pPr>
      <w:r>
        <w:rPr>
          <w:rFonts w:ascii="宋体" w:hAnsi="宋体" w:eastAsia="宋体" w:cs="Noto Sans"/>
          <w:kern w:val="0"/>
          <w:sz w:val="28"/>
          <w:szCs w:val="28"/>
        </w:rPr>
        <w:t> </w:t>
      </w:r>
    </w:p>
    <w:p>
      <w:pPr>
        <w:widowControl/>
        <w:shd w:val="clear" w:color="auto" w:fill="FFFFFF"/>
        <w:ind w:firstLine="723" w:firstLineChars="200"/>
        <w:jc w:val="center"/>
        <w:outlineLvl w:val="2"/>
        <w:rPr>
          <w:rFonts w:ascii="宋体" w:hAnsi="宋体" w:eastAsia="宋体" w:cs="Noto Sans"/>
          <w:b/>
          <w:bCs/>
          <w:kern w:val="0"/>
          <w:sz w:val="36"/>
          <w:szCs w:val="27"/>
        </w:rPr>
      </w:pPr>
      <w:r>
        <w:rPr>
          <w:rFonts w:ascii="宋体" w:hAnsi="宋体" w:eastAsia="宋体" w:cs="Noto Sans"/>
          <w:b/>
          <w:bCs/>
          <w:kern w:val="0"/>
          <w:sz w:val="36"/>
          <w:szCs w:val="27"/>
        </w:rPr>
        <w:br w:type="page"/>
      </w:r>
      <w:r>
        <w:rPr>
          <w:rFonts w:ascii="宋体" w:hAnsi="宋体" w:eastAsia="宋体" w:cs="Noto Sans"/>
          <w:b/>
          <w:bCs/>
          <w:kern w:val="0"/>
          <w:sz w:val="36"/>
          <w:szCs w:val="27"/>
        </w:rPr>
        <w:t>索引</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一、开标（报价）一览表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二、投标（响应）报价明细表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三、招标文件规定的价格扣除证明材料（若有）</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0"/>
        <w:rPr>
          <w:rFonts w:ascii="宋体" w:hAnsi="宋体" w:eastAsia="宋体" w:cs="Noto Sans"/>
          <w:b/>
          <w:bCs/>
          <w:kern w:val="36"/>
          <w:sz w:val="24"/>
          <w:szCs w:val="78"/>
        </w:rPr>
      </w:pPr>
      <w:r>
        <w:rPr>
          <w:rFonts w:ascii="宋体" w:hAnsi="宋体" w:eastAsia="宋体" w:cs="Noto Sans"/>
          <w:b/>
          <w:bCs/>
          <w:kern w:val="36"/>
          <w:sz w:val="24"/>
          <w:szCs w:val="78"/>
        </w:rPr>
        <w:t>开标（报价）一览表</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项目编号： [350101]CCZB[GK]2026002</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项目名称： 2026年福州市产品质量检验所工业产品检验检测设备更新项目-项目4</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 1(2026年福州市产品质量检验所工业产品检验检测设备更新项目-项目4)</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投标人（供应商）名称：</w:t>
      </w:r>
    </w:p>
    <w:tbl>
      <w:tblPr>
        <w:tblStyle w:val="13"/>
        <w:tblW w:w="9878" w:type="dxa"/>
        <w:tblInd w:w="0" w:type="dxa"/>
        <w:tblLayout w:type="fixed"/>
        <w:tblCellMar>
          <w:top w:w="0" w:type="dxa"/>
          <w:left w:w="0" w:type="dxa"/>
          <w:bottom w:w="0" w:type="dxa"/>
          <w:right w:w="0" w:type="dxa"/>
        </w:tblCellMar>
      </w:tblPr>
      <w:tblGrid>
        <w:gridCol w:w="638"/>
        <w:gridCol w:w="5139"/>
        <w:gridCol w:w="1314"/>
        <w:gridCol w:w="1831"/>
        <w:gridCol w:w="956"/>
      </w:tblGrid>
      <w:tr>
        <w:tblPrEx>
          <w:tblLayout w:type="fixed"/>
          <w:tblCellMar>
            <w:top w:w="0" w:type="dxa"/>
            <w:left w:w="0" w:type="dxa"/>
            <w:bottom w:w="0" w:type="dxa"/>
            <w:right w:w="0" w:type="dxa"/>
          </w:tblCellMar>
        </w:tblPrEx>
        <w:trPr>
          <w:trHeight w:val="567" w:hRule="atLeast"/>
          <w:tblHeader/>
        </w:trPr>
        <w:tc>
          <w:tcPr>
            <w:tcW w:w="638"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513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报价内容</w:t>
            </w:r>
          </w:p>
        </w:tc>
        <w:tc>
          <w:tcPr>
            <w:tcW w:w="1314"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83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响应报价</w:t>
            </w:r>
          </w:p>
        </w:tc>
        <w:tc>
          <w:tcPr>
            <w:tcW w:w="956"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价款形式</w:t>
            </w:r>
          </w:p>
        </w:tc>
      </w:tr>
      <w:tr>
        <w:tblPrEx>
          <w:tblLayout w:type="fixed"/>
          <w:tblCellMar>
            <w:top w:w="0" w:type="dxa"/>
            <w:left w:w="0" w:type="dxa"/>
            <w:bottom w:w="0" w:type="dxa"/>
            <w:right w:w="0" w:type="dxa"/>
          </w:tblCellMar>
        </w:tblPrEx>
        <w:trPr>
          <w:trHeight w:val="567" w:hRule="atLeast"/>
        </w:trPr>
        <w:tc>
          <w:tcPr>
            <w:tcW w:w="6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513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2026年福州市产品质量检验所工业产品检验检测设备更新项目-项目4</w:t>
            </w:r>
          </w:p>
        </w:tc>
        <w:tc>
          <w:tcPr>
            <w:tcW w:w="131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1202000 元</w:t>
            </w:r>
          </w:p>
        </w:tc>
        <w:tc>
          <w:tcPr>
            <w:tcW w:w="183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「汇总引用」 元</w:t>
            </w:r>
          </w:p>
        </w:tc>
        <w:tc>
          <w:tcPr>
            <w:tcW w:w="95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w:t>
            </w:r>
          </w:p>
        </w:tc>
      </w:tr>
    </w:tbl>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备注：无</w:t>
      </w:r>
    </w:p>
    <w:p>
      <w:pPr>
        <w:widowControl/>
        <w:shd w:val="clear" w:color="auto" w:fill="FFFFFF"/>
        <w:ind w:firstLine="480" w:firstLineChars="200"/>
        <w:jc w:val="right"/>
        <w:rPr>
          <w:rFonts w:ascii="宋体" w:hAnsi="宋体" w:eastAsia="宋体" w:cs="Noto Sans"/>
          <w:kern w:val="0"/>
          <w:sz w:val="24"/>
          <w:szCs w:val="24"/>
        </w:rPr>
      </w:pPr>
      <w:r>
        <w:rPr>
          <w:rFonts w:ascii="宋体" w:hAnsi="宋体" w:eastAsia="宋体" w:cs="Noto Sans"/>
          <w:kern w:val="0"/>
          <w:sz w:val="24"/>
          <w:szCs w:val="24"/>
        </w:rPr>
        <w:t>时间： 日     月     年     </w:t>
      </w:r>
    </w:p>
    <w:p>
      <w:pPr>
        <w:widowControl/>
        <w:shd w:val="clear" w:color="auto" w:fill="FFFFFF"/>
        <w:ind w:firstLine="480" w:firstLineChars="200"/>
        <w:jc w:val="right"/>
        <w:rPr>
          <w:rFonts w:ascii="宋体" w:hAnsi="宋体" w:eastAsia="宋体" w:cs="Noto Sans"/>
          <w:kern w:val="0"/>
          <w:sz w:val="24"/>
          <w:szCs w:val="24"/>
        </w:rPr>
      </w:pPr>
      <w:r>
        <w:rPr>
          <w:rFonts w:ascii="宋体" w:hAnsi="宋体" w:eastAsia="宋体" w:cs="Noto Sans"/>
          <w:kern w:val="0"/>
          <w:sz w:val="24"/>
          <w:szCs w:val="24"/>
        </w:rPr>
        <w:t>签章：                      </w:t>
      </w:r>
    </w:p>
    <w:p>
      <w:pPr>
        <w:widowControl/>
        <w:shd w:val="clear" w:color="auto" w:fill="FFFFFF"/>
        <w:ind w:firstLine="482" w:firstLineChars="200"/>
        <w:jc w:val="center"/>
        <w:outlineLvl w:val="0"/>
        <w:rPr>
          <w:rFonts w:ascii="宋体" w:hAnsi="宋体" w:eastAsia="宋体" w:cs="Noto Sans"/>
          <w:b/>
          <w:bCs/>
          <w:kern w:val="36"/>
          <w:sz w:val="24"/>
          <w:szCs w:val="78"/>
        </w:rPr>
      </w:pPr>
      <w:r>
        <w:rPr>
          <w:rFonts w:ascii="宋体" w:hAnsi="宋体" w:eastAsia="宋体" w:cs="Noto Sans"/>
          <w:b/>
          <w:bCs/>
          <w:kern w:val="36"/>
          <w:sz w:val="24"/>
          <w:szCs w:val="78"/>
        </w:rPr>
        <w:t>投标（响应）报价明细表</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项目编号： [350101]CCZB[GK]2026002</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项目名称： 2026年福州市产品质量检验所工业产品检验检测设备更新项目-项目4</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采购包： 2026年福州市产品质量检验所工业产品检验检测设备更新项目-项目4</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投标人名称：</w:t>
      </w:r>
    </w:p>
    <w:p>
      <w:pPr>
        <w:widowControl/>
        <w:shd w:val="clear" w:color="auto" w:fill="FFFFFF"/>
        <w:ind w:firstLine="482" w:firstLineChars="200"/>
        <w:jc w:val="left"/>
        <w:rPr>
          <w:rFonts w:ascii="宋体" w:hAnsi="宋体" w:eastAsia="宋体" w:cs="Noto Sans"/>
          <w:b/>
          <w:bCs/>
          <w:kern w:val="0"/>
          <w:sz w:val="24"/>
          <w:szCs w:val="24"/>
        </w:rPr>
      </w:pPr>
      <w:r>
        <w:rPr>
          <w:rFonts w:ascii="宋体" w:hAnsi="宋体" w:eastAsia="宋体" w:cs="Noto Sans"/>
          <w:b/>
          <w:bCs/>
          <w:kern w:val="0"/>
          <w:sz w:val="24"/>
          <w:szCs w:val="24"/>
        </w:rPr>
        <w:t>烟气分析仪</w:t>
      </w:r>
    </w:p>
    <w:tbl>
      <w:tblPr>
        <w:tblStyle w:val="13"/>
        <w:tblW w:w="9878" w:type="dxa"/>
        <w:tblInd w:w="0" w:type="dxa"/>
        <w:tblLayout w:type="fixed"/>
        <w:tblCellMar>
          <w:top w:w="0" w:type="dxa"/>
          <w:left w:w="0" w:type="dxa"/>
          <w:bottom w:w="0" w:type="dxa"/>
          <w:right w:w="0" w:type="dxa"/>
        </w:tblCellMar>
      </w:tblPr>
      <w:tblGrid>
        <w:gridCol w:w="511"/>
        <w:gridCol w:w="590"/>
        <w:gridCol w:w="722"/>
        <w:gridCol w:w="720"/>
        <w:gridCol w:w="720"/>
        <w:gridCol w:w="720"/>
        <w:gridCol w:w="908"/>
        <w:gridCol w:w="1199"/>
        <w:gridCol w:w="533"/>
        <w:gridCol w:w="561"/>
        <w:gridCol w:w="1199"/>
        <w:gridCol w:w="721"/>
        <w:gridCol w:w="774"/>
      </w:tblGrid>
      <w:tr>
        <w:tblPrEx>
          <w:tblLayout w:type="fixed"/>
          <w:tblCellMar>
            <w:top w:w="0" w:type="dxa"/>
            <w:left w:w="0" w:type="dxa"/>
            <w:bottom w:w="0" w:type="dxa"/>
            <w:right w:w="0" w:type="dxa"/>
          </w:tblCellMar>
        </w:tblPrEx>
        <w:trPr>
          <w:trHeight w:val="567" w:hRule="atLeast"/>
          <w:tblHeader/>
        </w:trPr>
        <w:tc>
          <w:tcPr>
            <w:tcW w:w="51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590"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货物名称</w:t>
            </w:r>
          </w:p>
        </w:tc>
        <w:tc>
          <w:tcPr>
            <w:tcW w:w="72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规格型号</w:t>
            </w:r>
          </w:p>
        </w:tc>
        <w:tc>
          <w:tcPr>
            <w:tcW w:w="720"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品牌</w:t>
            </w:r>
          </w:p>
        </w:tc>
        <w:tc>
          <w:tcPr>
            <w:tcW w:w="720"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制造商名称</w:t>
            </w:r>
          </w:p>
        </w:tc>
        <w:tc>
          <w:tcPr>
            <w:tcW w:w="720"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产地</w:t>
            </w:r>
          </w:p>
        </w:tc>
        <w:tc>
          <w:tcPr>
            <w:tcW w:w="908"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19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单价</w:t>
            </w:r>
          </w:p>
        </w:tc>
        <w:tc>
          <w:tcPr>
            <w:tcW w:w="533"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数量</w:t>
            </w:r>
          </w:p>
        </w:tc>
        <w:tc>
          <w:tcPr>
            <w:tcW w:w="56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119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总价</w:t>
            </w:r>
          </w:p>
        </w:tc>
        <w:tc>
          <w:tcPr>
            <w:tcW w:w="72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是否节能产品</w:t>
            </w:r>
          </w:p>
        </w:tc>
        <w:tc>
          <w:tcPr>
            <w:tcW w:w="774"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是否环境标志产品</w:t>
            </w:r>
          </w:p>
        </w:tc>
      </w:tr>
      <w:tr>
        <w:tblPrEx>
          <w:tblLayout w:type="fixed"/>
          <w:tblCellMar>
            <w:top w:w="0" w:type="dxa"/>
            <w:left w:w="0" w:type="dxa"/>
            <w:bottom w:w="0" w:type="dxa"/>
            <w:right w:w="0" w:type="dxa"/>
          </w:tblCellMar>
        </w:tblPrEx>
        <w:trPr>
          <w:trHeight w:val="567" w:hRule="atLeast"/>
        </w:trPr>
        <w:tc>
          <w:tcPr>
            <w:tcW w:w="51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59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烟气分析仪</w:t>
            </w:r>
          </w:p>
        </w:tc>
        <w:tc>
          <w:tcPr>
            <w:tcW w:w="72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2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2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2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90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300000 元</w:t>
            </w:r>
          </w:p>
        </w:tc>
        <w:tc>
          <w:tcPr>
            <w:tcW w:w="1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{=总价/数量} 元</w:t>
            </w:r>
          </w:p>
        </w:tc>
        <w:tc>
          <w:tcPr>
            <w:tcW w:w="53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1.0000</w:t>
            </w:r>
          </w:p>
        </w:tc>
        <w:tc>
          <w:tcPr>
            <w:tcW w:w="56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19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 元</w:t>
            </w:r>
          </w:p>
        </w:tc>
        <w:tc>
          <w:tcPr>
            <w:tcW w:w="72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7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r>
    </w:tbl>
    <w:p>
      <w:pPr>
        <w:widowControl/>
        <w:shd w:val="clear" w:color="auto" w:fill="FFFFFF"/>
        <w:ind w:firstLine="482" w:firstLineChars="200"/>
        <w:jc w:val="right"/>
        <w:rPr>
          <w:rFonts w:ascii="宋体" w:hAnsi="宋体" w:eastAsia="宋体" w:cs="Noto Sans"/>
          <w:kern w:val="0"/>
          <w:sz w:val="24"/>
          <w:szCs w:val="24"/>
        </w:rPr>
      </w:pPr>
      <w:r>
        <w:rPr>
          <w:rFonts w:ascii="宋体" w:hAnsi="宋体" w:eastAsia="宋体" w:cs="Noto Sans"/>
          <w:b/>
          <w:bCs/>
          <w:kern w:val="0"/>
          <w:sz w:val="24"/>
          <w:szCs w:val="24"/>
        </w:rPr>
        <w:t>合计</w:t>
      </w:r>
      <w:r>
        <w:rPr>
          <w:rFonts w:ascii="宋体" w:hAnsi="宋体" w:eastAsia="宋体" w:cs="Noto Sans"/>
          <w:kern w:val="0"/>
          <w:sz w:val="24"/>
          <w:szCs w:val="24"/>
        </w:rPr>
        <w:t>：</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备注：无</w:t>
      </w:r>
    </w:p>
    <w:p>
      <w:pPr>
        <w:widowControl/>
        <w:shd w:val="clear" w:color="auto" w:fill="FFFFFF"/>
        <w:ind w:firstLine="482" w:firstLineChars="200"/>
        <w:jc w:val="left"/>
        <w:rPr>
          <w:rFonts w:ascii="宋体" w:hAnsi="宋体" w:eastAsia="宋体" w:cs="Noto Sans"/>
          <w:b/>
          <w:bCs/>
          <w:kern w:val="0"/>
          <w:sz w:val="24"/>
          <w:szCs w:val="24"/>
        </w:rPr>
      </w:pPr>
      <w:r>
        <w:rPr>
          <w:rFonts w:ascii="宋体" w:hAnsi="宋体" w:eastAsia="宋体" w:cs="Noto Sans"/>
          <w:b/>
          <w:bCs/>
          <w:kern w:val="0"/>
          <w:sz w:val="24"/>
          <w:szCs w:val="24"/>
        </w:rPr>
        <w:t>温湿度试验箱</w:t>
      </w:r>
    </w:p>
    <w:tbl>
      <w:tblPr>
        <w:tblStyle w:val="13"/>
        <w:tblW w:w="9878" w:type="dxa"/>
        <w:tblInd w:w="0" w:type="dxa"/>
        <w:tblLayout w:type="fixed"/>
        <w:tblCellMar>
          <w:top w:w="0" w:type="dxa"/>
          <w:left w:w="0" w:type="dxa"/>
          <w:bottom w:w="0" w:type="dxa"/>
          <w:right w:w="0" w:type="dxa"/>
        </w:tblCellMar>
      </w:tblPr>
      <w:tblGrid>
        <w:gridCol w:w="509"/>
        <w:gridCol w:w="613"/>
        <w:gridCol w:w="718"/>
        <w:gridCol w:w="718"/>
        <w:gridCol w:w="718"/>
        <w:gridCol w:w="718"/>
        <w:gridCol w:w="907"/>
        <w:gridCol w:w="1197"/>
        <w:gridCol w:w="533"/>
        <w:gridCol w:w="559"/>
        <w:gridCol w:w="1197"/>
        <w:gridCol w:w="719"/>
        <w:gridCol w:w="772"/>
      </w:tblGrid>
      <w:tr>
        <w:tblPrEx>
          <w:tblLayout w:type="fixed"/>
          <w:tblCellMar>
            <w:top w:w="0" w:type="dxa"/>
            <w:left w:w="0" w:type="dxa"/>
            <w:bottom w:w="0" w:type="dxa"/>
            <w:right w:w="0" w:type="dxa"/>
          </w:tblCellMar>
        </w:tblPrEx>
        <w:trPr>
          <w:trHeight w:val="567" w:hRule="atLeast"/>
          <w:tblHeader/>
        </w:trPr>
        <w:tc>
          <w:tcPr>
            <w:tcW w:w="50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613"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货物名称</w:t>
            </w:r>
          </w:p>
        </w:tc>
        <w:tc>
          <w:tcPr>
            <w:tcW w:w="718"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规格型号</w:t>
            </w:r>
          </w:p>
        </w:tc>
        <w:tc>
          <w:tcPr>
            <w:tcW w:w="718"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品牌</w:t>
            </w:r>
          </w:p>
        </w:tc>
        <w:tc>
          <w:tcPr>
            <w:tcW w:w="718"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制造商名称</w:t>
            </w:r>
          </w:p>
        </w:tc>
        <w:tc>
          <w:tcPr>
            <w:tcW w:w="718"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产地</w:t>
            </w:r>
          </w:p>
        </w:tc>
        <w:tc>
          <w:tcPr>
            <w:tcW w:w="90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19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单价</w:t>
            </w:r>
          </w:p>
        </w:tc>
        <w:tc>
          <w:tcPr>
            <w:tcW w:w="533"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数量</w:t>
            </w:r>
          </w:p>
        </w:tc>
        <w:tc>
          <w:tcPr>
            <w:tcW w:w="55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119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总价</w:t>
            </w:r>
          </w:p>
        </w:tc>
        <w:tc>
          <w:tcPr>
            <w:tcW w:w="71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是否节能产品</w:t>
            </w:r>
          </w:p>
        </w:tc>
        <w:tc>
          <w:tcPr>
            <w:tcW w:w="77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是否环境标志产品</w:t>
            </w:r>
          </w:p>
        </w:tc>
      </w:tr>
      <w:tr>
        <w:tblPrEx>
          <w:tblLayout w:type="fixed"/>
          <w:tblCellMar>
            <w:top w:w="0" w:type="dxa"/>
            <w:left w:w="0" w:type="dxa"/>
            <w:bottom w:w="0" w:type="dxa"/>
            <w:right w:w="0" w:type="dxa"/>
          </w:tblCellMar>
        </w:tblPrEx>
        <w:trPr>
          <w:trHeight w:val="567" w:hRule="atLeast"/>
        </w:trPr>
        <w:tc>
          <w:tcPr>
            <w:tcW w:w="50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61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温湿度试验箱</w:t>
            </w:r>
          </w:p>
        </w:tc>
        <w:tc>
          <w:tcPr>
            <w:tcW w:w="71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1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1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1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90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165000 元</w:t>
            </w:r>
          </w:p>
        </w:tc>
        <w:tc>
          <w:tcPr>
            <w:tcW w:w="119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{=总价/数量} 元</w:t>
            </w:r>
          </w:p>
        </w:tc>
        <w:tc>
          <w:tcPr>
            <w:tcW w:w="53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1.0000</w:t>
            </w:r>
          </w:p>
        </w:tc>
        <w:tc>
          <w:tcPr>
            <w:tcW w:w="55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19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 元</w:t>
            </w:r>
          </w:p>
        </w:tc>
        <w:tc>
          <w:tcPr>
            <w:tcW w:w="7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7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r>
    </w:tbl>
    <w:p>
      <w:pPr>
        <w:widowControl/>
        <w:shd w:val="clear" w:color="auto" w:fill="FFFFFF"/>
        <w:ind w:firstLine="482" w:firstLineChars="200"/>
        <w:jc w:val="right"/>
        <w:rPr>
          <w:rFonts w:ascii="宋体" w:hAnsi="宋体" w:eastAsia="宋体" w:cs="Noto Sans"/>
          <w:kern w:val="0"/>
          <w:sz w:val="24"/>
          <w:szCs w:val="24"/>
        </w:rPr>
      </w:pPr>
      <w:r>
        <w:rPr>
          <w:rFonts w:ascii="宋体" w:hAnsi="宋体" w:eastAsia="宋体" w:cs="Noto Sans"/>
          <w:b/>
          <w:bCs/>
          <w:kern w:val="0"/>
          <w:sz w:val="24"/>
          <w:szCs w:val="24"/>
        </w:rPr>
        <w:t>合计</w:t>
      </w:r>
      <w:r>
        <w:rPr>
          <w:rFonts w:ascii="宋体" w:hAnsi="宋体" w:eastAsia="宋体" w:cs="Noto Sans"/>
          <w:kern w:val="0"/>
          <w:sz w:val="24"/>
          <w:szCs w:val="24"/>
        </w:rPr>
        <w:t>：</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备注：无</w:t>
      </w:r>
    </w:p>
    <w:p>
      <w:pPr>
        <w:widowControl/>
        <w:shd w:val="clear" w:color="auto" w:fill="FFFFFF"/>
        <w:ind w:firstLine="482" w:firstLineChars="200"/>
        <w:jc w:val="left"/>
        <w:rPr>
          <w:rFonts w:ascii="宋体" w:hAnsi="宋体" w:eastAsia="宋体" w:cs="Noto Sans"/>
          <w:b/>
          <w:bCs/>
          <w:kern w:val="0"/>
          <w:sz w:val="24"/>
          <w:szCs w:val="24"/>
        </w:rPr>
      </w:pPr>
      <w:r>
        <w:rPr>
          <w:rFonts w:ascii="宋体" w:hAnsi="宋体" w:eastAsia="宋体" w:cs="Noto Sans"/>
          <w:b/>
          <w:bCs/>
          <w:kern w:val="0"/>
          <w:sz w:val="24"/>
          <w:szCs w:val="24"/>
        </w:rPr>
        <w:t>电动振动台</w:t>
      </w:r>
    </w:p>
    <w:tbl>
      <w:tblPr>
        <w:tblStyle w:val="13"/>
        <w:tblW w:w="9878" w:type="dxa"/>
        <w:tblInd w:w="0" w:type="dxa"/>
        <w:tblLayout w:type="fixed"/>
        <w:tblCellMar>
          <w:top w:w="0" w:type="dxa"/>
          <w:left w:w="0" w:type="dxa"/>
          <w:bottom w:w="0" w:type="dxa"/>
          <w:right w:w="0" w:type="dxa"/>
        </w:tblCellMar>
      </w:tblPr>
      <w:tblGrid>
        <w:gridCol w:w="509"/>
        <w:gridCol w:w="590"/>
        <w:gridCol w:w="722"/>
        <w:gridCol w:w="722"/>
        <w:gridCol w:w="722"/>
        <w:gridCol w:w="722"/>
        <w:gridCol w:w="896"/>
        <w:gridCol w:w="1201"/>
        <w:gridCol w:w="535"/>
        <w:gridCol w:w="561"/>
        <w:gridCol w:w="1201"/>
        <w:gridCol w:w="721"/>
        <w:gridCol w:w="776"/>
      </w:tblGrid>
      <w:tr>
        <w:tblPrEx>
          <w:tblLayout w:type="fixed"/>
          <w:tblCellMar>
            <w:top w:w="0" w:type="dxa"/>
            <w:left w:w="0" w:type="dxa"/>
            <w:bottom w:w="0" w:type="dxa"/>
            <w:right w:w="0" w:type="dxa"/>
          </w:tblCellMar>
        </w:tblPrEx>
        <w:trPr>
          <w:trHeight w:val="567" w:hRule="atLeast"/>
          <w:tblHeader/>
        </w:trPr>
        <w:tc>
          <w:tcPr>
            <w:tcW w:w="50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590"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货物名称</w:t>
            </w:r>
          </w:p>
        </w:tc>
        <w:tc>
          <w:tcPr>
            <w:tcW w:w="72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规格型号</w:t>
            </w:r>
          </w:p>
        </w:tc>
        <w:tc>
          <w:tcPr>
            <w:tcW w:w="72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品牌</w:t>
            </w:r>
          </w:p>
        </w:tc>
        <w:tc>
          <w:tcPr>
            <w:tcW w:w="72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制造商名称</w:t>
            </w:r>
          </w:p>
        </w:tc>
        <w:tc>
          <w:tcPr>
            <w:tcW w:w="72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产地</w:t>
            </w:r>
          </w:p>
        </w:tc>
        <w:tc>
          <w:tcPr>
            <w:tcW w:w="896"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20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单价</w:t>
            </w:r>
          </w:p>
        </w:tc>
        <w:tc>
          <w:tcPr>
            <w:tcW w:w="535"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数量</w:t>
            </w:r>
          </w:p>
        </w:tc>
        <w:tc>
          <w:tcPr>
            <w:tcW w:w="56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120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总价</w:t>
            </w:r>
          </w:p>
        </w:tc>
        <w:tc>
          <w:tcPr>
            <w:tcW w:w="72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是否节能产品</w:t>
            </w:r>
          </w:p>
        </w:tc>
        <w:tc>
          <w:tcPr>
            <w:tcW w:w="776"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是否环境标志产品</w:t>
            </w:r>
          </w:p>
        </w:tc>
      </w:tr>
      <w:tr>
        <w:tblPrEx>
          <w:tblLayout w:type="fixed"/>
          <w:tblCellMar>
            <w:top w:w="0" w:type="dxa"/>
            <w:left w:w="0" w:type="dxa"/>
            <w:bottom w:w="0" w:type="dxa"/>
            <w:right w:w="0" w:type="dxa"/>
          </w:tblCellMar>
        </w:tblPrEx>
        <w:trPr>
          <w:trHeight w:val="567" w:hRule="atLeast"/>
        </w:trPr>
        <w:tc>
          <w:tcPr>
            <w:tcW w:w="50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59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电动振动台</w:t>
            </w:r>
          </w:p>
        </w:tc>
        <w:tc>
          <w:tcPr>
            <w:tcW w:w="72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2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2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2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89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57000 元</w:t>
            </w:r>
          </w:p>
        </w:tc>
        <w:tc>
          <w:tcPr>
            <w:tcW w:w="12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{=总价/数量} 元</w:t>
            </w:r>
          </w:p>
        </w:tc>
        <w:tc>
          <w:tcPr>
            <w:tcW w:w="53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1.0000</w:t>
            </w:r>
          </w:p>
        </w:tc>
        <w:tc>
          <w:tcPr>
            <w:tcW w:w="56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2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 元</w:t>
            </w:r>
          </w:p>
        </w:tc>
        <w:tc>
          <w:tcPr>
            <w:tcW w:w="72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7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r>
    </w:tbl>
    <w:p>
      <w:pPr>
        <w:widowControl/>
        <w:shd w:val="clear" w:color="auto" w:fill="FFFFFF"/>
        <w:ind w:firstLine="482" w:firstLineChars="200"/>
        <w:jc w:val="right"/>
        <w:rPr>
          <w:rFonts w:ascii="宋体" w:hAnsi="宋体" w:eastAsia="宋体" w:cs="Noto Sans"/>
          <w:kern w:val="0"/>
          <w:sz w:val="24"/>
          <w:szCs w:val="24"/>
        </w:rPr>
      </w:pPr>
      <w:r>
        <w:rPr>
          <w:rFonts w:ascii="宋体" w:hAnsi="宋体" w:eastAsia="宋体" w:cs="Noto Sans"/>
          <w:b/>
          <w:bCs/>
          <w:kern w:val="0"/>
          <w:sz w:val="24"/>
          <w:szCs w:val="24"/>
        </w:rPr>
        <w:t>合计</w:t>
      </w:r>
      <w:r>
        <w:rPr>
          <w:rFonts w:ascii="宋体" w:hAnsi="宋体" w:eastAsia="宋体" w:cs="Noto Sans"/>
          <w:kern w:val="0"/>
          <w:sz w:val="24"/>
          <w:szCs w:val="24"/>
        </w:rPr>
        <w:t>：</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备注：无</w:t>
      </w:r>
    </w:p>
    <w:p>
      <w:pPr>
        <w:widowControl/>
        <w:shd w:val="clear" w:color="auto" w:fill="FFFFFF"/>
        <w:ind w:firstLine="482" w:firstLineChars="200"/>
        <w:jc w:val="left"/>
        <w:rPr>
          <w:rFonts w:ascii="宋体" w:hAnsi="宋体" w:eastAsia="宋体" w:cs="Noto Sans"/>
          <w:b/>
          <w:bCs/>
          <w:kern w:val="0"/>
          <w:sz w:val="24"/>
          <w:szCs w:val="24"/>
        </w:rPr>
      </w:pPr>
      <w:r>
        <w:rPr>
          <w:rFonts w:ascii="宋体" w:hAnsi="宋体" w:eastAsia="宋体" w:cs="Noto Sans"/>
          <w:b/>
          <w:bCs/>
          <w:kern w:val="0"/>
          <w:sz w:val="24"/>
          <w:szCs w:val="24"/>
        </w:rPr>
        <w:t>商用燃气灶具综合性能测试系统</w:t>
      </w:r>
    </w:p>
    <w:tbl>
      <w:tblPr>
        <w:tblStyle w:val="13"/>
        <w:tblW w:w="9878" w:type="dxa"/>
        <w:tblInd w:w="0" w:type="dxa"/>
        <w:tblLayout w:type="fixed"/>
        <w:tblCellMar>
          <w:top w:w="0" w:type="dxa"/>
          <w:left w:w="0" w:type="dxa"/>
          <w:bottom w:w="0" w:type="dxa"/>
          <w:right w:w="0" w:type="dxa"/>
        </w:tblCellMar>
      </w:tblPr>
      <w:tblGrid>
        <w:gridCol w:w="507"/>
        <w:gridCol w:w="777"/>
        <w:gridCol w:w="702"/>
        <w:gridCol w:w="702"/>
        <w:gridCol w:w="702"/>
        <w:gridCol w:w="702"/>
        <w:gridCol w:w="897"/>
        <w:gridCol w:w="1181"/>
        <w:gridCol w:w="526"/>
        <w:gridCol w:w="549"/>
        <w:gridCol w:w="1181"/>
        <w:gridCol w:w="703"/>
        <w:gridCol w:w="749"/>
      </w:tblGrid>
      <w:tr>
        <w:tblPrEx>
          <w:tblLayout w:type="fixed"/>
          <w:tblCellMar>
            <w:top w:w="0" w:type="dxa"/>
            <w:left w:w="0" w:type="dxa"/>
            <w:bottom w:w="0" w:type="dxa"/>
            <w:right w:w="0" w:type="dxa"/>
          </w:tblCellMar>
        </w:tblPrEx>
        <w:trPr>
          <w:trHeight w:val="567" w:hRule="atLeast"/>
          <w:tblHeader/>
        </w:trPr>
        <w:tc>
          <w:tcPr>
            <w:tcW w:w="50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77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货物名称</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规格型号</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品牌</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制造商名称</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产地</w:t>
            </w:r>
          </w:p>
        </w:tc>
        <w:tc>
          <w:tcPr>
            <w:tcW w:w="89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18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单价</w:t>
            </w:r>
          </w:p>
        </w:tc>
        <w:tc>
          <w:tcPr>
            <w:tcW w:w="526"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数量</w:t>
            </w:r>
          </w:p>
        </w:tc>
        <w:tc>
          <w:tcPr>
            <w:tcW w:w="54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118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总价</w:t>
            </w:r>
          </w:p>
        </w:tc>
        <w:tc>
          <w:tcPr>
            <w:tcW w:w="703"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是否节能产品</w:t>
            </w:r>
          </w:p>
        </w:tc>
        <w:tc>
          <w:tcPr>
            <w:tcW w:w="74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是否环境标志产品</w:t>
            </w:r>
          </w:p>
        </w:tc>
      </w:tr>
      <w:tr>
        <w:tblPrEx>
          <w:tblLayout w:type="fixed"/>
          <w:tblCellMar>
            <w:top w:w="0" w:type="dxa"/>
            <w:left w:w="0" w:type="dxa"/>
            <w:bottom w:w="0" w:type="dxa"/>
            <w:right w:w="0" w:type="dxa"/>
          </w:tblCellMar>
        </w:tblPrEx>
        <w:trPr>
          <w:trHeight w:val="567" w:hRule="atLeast"/>
        </w:trPr>
        <w:tc>
          <w:tcPr>
            <w:tcW w:w="50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77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商用燃气灶具综合性能测试系统</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89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360000 元</w:t>
            </w:r>
          </w:p>
        </w:tc>
        <w:tc>
          <w:tcPr>
            <w:tcW w:w="118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{=总价/数量} 元</w:t>
            </w:r>
          </w:p>
        </w:tc>
        <w:tc>
          <w:tcPr>
            <w:tcW w:w="52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1.0000</w:t>
            </w:r>
          </w:p>
        </w:tc>
        <w:tc>
          <w:tcPr>
            <w:tcW w:w="54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18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 元</w:t>
            </w:r>
          </w:p>
        </w:tc>
        <w:tc>
          <w:tcPr>
            <w:tcW w:w="70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4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r>
    </w:tbl>
    <w:p>
      <w:pPr>
        <w:widowControl/>
        <w:shd w:val="clear" w:color="auto" w:fill="FFFFFF"/>
        <w:ind w:firstLine="482" w:firstLineChars="200"/>
        <w:jc w:val="right"/>
        <w:rPr>
          <w:rFonts w:ascii="宋体" w:hAnsi="宋体" w:eastAsia="宋体" w:cs="Noto Sans"/>
          <w:kern w:val="0"/>
          <w:sz w:val="24"/>
          <w:szCs w:val="24"/>
        </w:rPr>
      </w:pPr>
      <w:r>
        <w:rPr>
          <w:rFonts w:ascii="宋体" w:hAnsi="宋体" w:eastAsia="宋体" w:cs="Noto Sans"/>
          <w:b/>
          <w:bCs/>
          <w:kern w:val="0"/>
          <w:sz w:val="24"/>
          <w:szCs w:val="24"/>
        </w:rPr>
        <w:t>合计</w:t>
      </w:r>
      <w:r>
        <w:rPr>
          <w:rFonts w:ascii="宋体" w:hAnsi="宋体" w:eastAsia="宋体" w:cs="Noto Sans"/>
          <w:kern w:val="0"/>
          <w:sz w:val="24"/>
          <w:szCs w:val="24"/>
        </w:rPr>
        <w:t>：</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备注：无</w:t>
      </w:r>
    </w:p>
    <w:p>
      <w:pPr>
        <w:widowControl/>
        <w:shd w:val="clear" w:color="auto" w:fill="FFFFFF"/>
        <w:ind w:firstLine="482" w:firstLineChars="200"/>
        <w:jc w:val="left"/>
        <w:rPr>
          <w:rFonts w:ascii="宋体" w:hAnsi="宋体" w:eastAsia="宋体" w:cs="Noto Sans"/>
          <w:b/>
          <w:bCs/>
          <w:kern w:val="0"/>
          <w:sz w:val="24"/>
          <w:szCs w:val="24"/>
        </w:rPr>
      </w:pPr>
      <w:r>
        <w:rPr>
          <w:rFonts w:ascii="宋体" w:hAnsi="宋体" w:eastAsia="宋体" w:cs="Noto Sans"/>
          <w:b/>
          <w:bCs/>
          <w:kern w:val="0"/>
          <w:sz w:val="24"/>
          <w:szCs w:val="24"/>
        </w:rPr>
        <w:t>家用燃气灶具综合性能测试系统</w:t>
      </w:r>
    </w:p>
    <w:tbl>
      <w:tblPr>
        <w:tblStyle w:val="13"/>
        <w:tblW w:w="9878" w:type="dxa"/>
        <w:tblInd w:w="0" w:type="dxa"/>
        <w:tblLayout w:type="fixed"/>
        <w:tblCellMar>
          <w:top w:w="0" w:type="dxa"/>
          <w:left w:w="0" w:type="dxa"/>
          <w:bottom w:w="0" w:type="dxa"/>
          <w:right w:w="0" w:type="dxa"/>
        </w:tblCellMar>
      </w:tblPr>
      <w:tblGrid>
        <w:gridCol w:w="507"/>
        <w:gridCol w:w="777"/>
        <w:gridCol w:w="702"/>
        <w:gridCol w:w="702"/>
        <w:gridCol w:w="702"/>
        <w:gridCol w:w="702"/>
        <w:gridCol w:w="897"/>
        <w:gridCol w:w="1181"/>
        <w:gridCol w:w="526"/>
        <w:gridCol w:w="549"/>
        <w:gridCol w:w="1181"/>
        <w:gridCol w:w="703"/>
        <w:gridCol w:w="749"/>
      </w:tblGrid>
      <w:tr>
        <w:tblPrEx>
          <w:tblLayout w:type="fixed"/>
          <w:tblCellMar>
            <w:top w:w="0" w:type="dxa"/>
            <w:left w:w="0" w:type="dxa"/>
            <w:bottom w:w="0" w:type="dxa"/>
            <w:right w:w="0" w:type="dxa"/>
          </w:tblCellMar>
        </w:tblPrEx>
        <w:trPr>
          <w:trHeight w:val="567" w:hRule="atLeast"/>
          <w:tblHeader/>
        </w:trPr>
        <w:tc>
          <w:tcPr>
            <w:tcW w:w="50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序号</w:t>
            </w:r>
          </w:p>
        </w:tc>
        <w:tc>
          <w:tcPr>
            <w:tcW w:w="77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货物名称</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规格型号</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品牌</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制造商名称</w:t>
            </w:r>
          </w:p>
        </w:tc>
        <w:tc>
          <w:tcPr>
            <w:tcW w:w="702"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产地</w:t>
            </w:r>
          </w:p>
        </w:tc>
        <w:tc>
          <w:tcPr>
            <w:tcW w:w="897"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最高限价</w:t>
            </w:r>
          </w:p>
        </w:tc>
        <w:tc>
          <w:tcPr>
            <w:tcW w:w="118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单价</w:t>
            </w:r>
          </w:p>
        </w:tc>
        <w:tc>
          <w:tcPr>
            <w:tcW w:w="526"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数量</w:t>
            </w:r>
          </w:p>
        </w:tc>
        <w:tc>
          <w:tcPr>
            <w:tcW w:w="54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计量单位</w:t>
            </w:r>
          </w:p>
        </w:tc>
        <w:tc>
          <w:tcPr>
            <w:tcW w:w="1181"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总价</w:t>
            </w:r>
          </w:p>
        </w:tc>
        <w:tc>
          <w:tcPr>
            <w:tcW w:w="703"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是否节能产品</w:t>
            </w:r>
          </w:p>
        </w:tc>
        <w:tc>
          <w:tcPr>
            <w:tcW w:w="749" w:type="dxa"/>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widowControl/>
              <w:wordWrap w:val="0"/>
              <w:jc w:val="left"/>
              <w:rPr>
                <w:rFonts w:ascii="宋体" w:hAnsi="宋体" w:eastAsia="宋体" w:cs="宋体"/>
                <w:b/>
                <w:bCs/>
                <w:kern w:val="0"/>
                <w:sz w:val="24"/>
                <w:szCs w:val="24"/>
              </w:rPr>
            </w:pPr>
            <w:r>
              <w:rPr>
                <w:rFonts w:ascii="宋体" w:hAnsi="宋体" w:eastAsia="宋体" w:cs="宋体"/>
                <w:b/>
                <w:bCs/>
                <w:kern w:val="0"/>
                <w:sz w:val="24"/>
                <w:szCs w:val="24"/>
              </w:rPr>
              <w:t>是否环境标志产品</w:t>
            </w:r>
          </w:p>
        </w:tc>
      </w:tr>
      <w:tr>
        <w:tblPrEx>
          <w:tblLayout w:type="fixed"/>
          <w:tblCellMar>
            <w:top w:w="0" w:type="dxa"/>
            <w:left w:w="0" w:type="dxa"/>
            <w:bottom w:w="0" w:type="dxa"/>
            <w:right w:w="0" w:type="dxa"/>
          </w:tblCellMar>
        </w:tblPrEx>
        <w:trPr>
          <w:trHeight w:val="567" w:hRule="atLeast"/>
        </w:trPr>
        <w:tc>
          <w:tcPr>
            <w:tcW w:w="50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77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家用燃气灶具综合性能测试系统</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0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897"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320000 元</w:t>
            </w:r>
          </w:p>
        </w:tc>
        <w:tc>
          <w:tcPr>
            <w:tcW w:w="118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{=总价/数量} 元</w:t>
            </w:r>
          </w:p>
        </w:tc>
        <w:tc>
          <w:tcPr>
            <w:tcW w:w="52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1.0000</w:t>
            </w:r>
          </w:p>
        </w:tc>
        <w:tc>
          <w:tcPr>
            <w:tcW w:w="54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台</w:t>
            </w:r>
          </w:p>
        </w:tc>
        <w:tc>
          <w:tcPr>
            <w:tcW w:w="118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 元</w:t>
            </w:r>
          </w:p>
        </w:tc>
        <w:tc>
          <w:tcPr>
            <w:tcW w:w="70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c>
          <w:tcPr>
            <w:tcW w:w="74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{供应商响应}</w:t>
            </w:r>
          </w:p>
        </w:tc>
      </w:tr>
    </w:tbl>
    <w:p>
      <w:pPr>
        <w:widowControl/>
        <w:shd w:val="clear" w:color="auto" w:fill="FFFFFF"/>
        <w:ind w:firstLine="482" w:firstLineChars="200"/>
        <w:jc w:val="right"/>
        <w:rPr>
          <w:rFonts w:ascii="宋体" w:hAnsi="宋体" w:eastAsia="宋体" w:cs="Noto Sans"/>
          <w:kern w:val="0"/>
          <w:sz w:val="24"/>
          <w:szCs w:val="24"/>
        </w:rPr>
      </w:pPr>
      <w:r>
        <w:rPr>
          <w:rFonts w:ascii="宋体" w:hAnsi="宋体" w:eastAsia="宋体" w:cs="Noto Sans"/>
          <w:b/>
          <w:bCs/>
          <w:kern w:val="0"/>
          <w:sz w:val="24"/>
          <w:szCs w:val="24"/>
        </w:rPr>
        <w:t>合计</w:t>
      </w:r>
      <w:r>
        <w:rPr>
          <w:rFonts w:ascii="宋体" w:hAnsi="宋体" w:eastAsia="宋体" w:cs="Noto Sans"/>
          <w:kern w:val="0"/>
          <w:sz w:val="24"/>
          <w:szCs w:val="24"/>
        </w:rPr>
        <w:t>：</w:t>
      </w:r>
    </w:p>
    <w:p>
      <w:pPr>
        <w:widowControl/>
        <w:shd w:val="clear" w:color="auto" w:fill="FFFFFF"/>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备注：无</w:t>
      </w:r>
    </w:p>
    <w:p>
      <w:pPr>
        <w:widowControl/>
        <w:shd w:val="clear" w:color="auto" w:fill="FFFFFF"/>
        <w:ind w:firstLine="480" w:firstLineChars="200"/>
        <w:jc w:val="right"/>
        <w:rPr>
          <w:rFonts w:ascii="宋体" w:hAnsi="宋体" w:eastAsia="宋体" w:cs="Noto Sans"/>
          <w:kern w:val="0"/>
          <w:sz w:val="24"/>
          <w:szCs w:val="24"/>
        </w:rPr>
      </w:pPr>
      <w:r>
        <w:rPr>
          <w:rFonts w:ascii="宋体" w:hAnsi="宋体" w:eastAsia="宋体" w:cs="Noto Sans"/>
          <w:kern w:val="0"/>
          <w:sz w:val="24"/>
          <w:szCs w:val="24"/>
        </w:rPr>
        <w:t>时间： 日     月     年     </w:t>
      </w:r>
    </w:p>
    <w:p>
      <w:pPr>
        <w:widowControl/>
        <w:shd w:val="clear" w:color="auto" w:fill="FFFFFF"/>
        <w:ind w:firstLine="480" w:firstLineChars="200"/>
        <w:jc w:val="right"/>
        <w:rPr>
          <w:rFonts w:ascii="宋体" w:hAnsi="宋体" w:eastAsia="宋体" w:cs="Noto Sans"/>
          <w:kern w:val="0"/>
          <w:sz w:val="24"/>
          <w:szCs w:val="24"/>
        </w:rPr>
      </w:pPr>
      <w:r>
        <w:rPr>
          <w:rFonts w:ascii="宋体" w:hAnsi="宋体" w:eastAsia="宋体" w:cs="Noto Sans"/>
          <w:kern w:val="0"/>
          <w:sz w:val="24"/>
          <w:szCs w:val="24"/>
        </w:rPr>
        <w:t>签章：                      </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三、招标文件规定的价格扣除证明材料（若有）</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三-1优先类节能产品、环境标志产品价格扣除证明材料（若有）</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三-1-①优先类节能产品、环境标志产品统计表（价格扣除适用，若有）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项目编号：</w:t>
      </w:r>
      <w:r>
        <w:rPr>
          <w:rFonts w:ascii="宋体" w:hAnsi="宋体" w:eastAsia="宋体" w:cs="宋体"/>
          <w:kern w:val="0"/>
          <w:sz w:val="24"/>
          <w:szCs w:val="24"/>
          <w:u w:val="single"/>
        </w:rPr>
        <w:t>　　　　　　　　</w:t>
      </w:r>
    </w:p>
    <w:tbl>
      <w:tblPr>
        <w:tblStyle w:val="13"/>
        <w:tblW w:w="9878" w:type="dxa"/>
        <w:tblInd w:w="0" w:type="dxa"/>
        <w:tblLayout w:type="fixed"/>
        <w:tblCellMar>
          <w:top w:w="0" w:type="dxa"/>
          <w:left w:w="0" w:type="dxa"/>
          <w:bottom w:w="0" w:type="dxa"/>
          <w:right w:w="0" w:type="dxa"/>
        </w:tblCellMar>
      </w:tblPr>
      <w:tblGrid>
        <w:gridCol w:w="1064"/>
        <w:gridCol w:w="1065"/>
        <w:gridCol w:w="1332"/>
        <w:gridCol w:w="6389"/>
        <w:gridCol w:w="16"/>
        <w:gridCol w:w="6"/>
        <w:gridCol w:w="6"/>
      </w:tblGrid>
      <w:tr>
        <w:tblPrEx>
          <w:tblLayout w:type="fixed"/>
          <w:tblCellMar>
            <w:top w:w="0" w:type="dxa"/>
            <w:left w:w="0" w:type="dxa"/>
            <w:bottom w:w="0" w:type="dxa"/>
            <w:right w:w="0" w:type="dxa"/>
          </w:tblCellMar>
        </w:tblPrEx>
        <w:trPr>
          <w:trHeight w:val="567" w:hRule="atLeast"/>
        </w:trPr>
        <w:tc>
          <w:tcPr>
            <w:tcW w:w="106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8814" w:type="dxa"/>
            <w:gridSpan w:val="6"/>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本采购包内属于节能、环境标志产品情况</w:t>
            </w:r>
          </w:p>
        </w:tc>
      </w:tr>
      <w:tr>
        <w:tblPrEx>
          <w:tblLayout w:type="fixed"/>
          <w:tblCellMar>
            <w:top w:w="0" w:type="dxa"/>
            <w:left w:w="0" w:type="dxa"/>
            <w:bottom w:w="0" w:type="dxa"/>
            <w:right w:w="0" w:type="dxa"/>
          </w:tblCellMar>
        </w:tblPrEx>
        <w:trPr>
          <w:trHeight w:val="567" w:hRule="atLeast"/>
        </w:trPr>
        <w:tc>
          <w:tcPr>
            <w:tcW w:w="106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采购包</w:t>
            </w:r>
          </w:p>
        </w:tc>
        <w:tc>
          <w:tcPr>
            <w:tcW w:w="106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品目号</w:t>
            </w:r>
          </w:p>
        </w:tc>
        <w:tc>
          <w:tcPr>
            <w:tcW w:w="133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产品名称</w:t>
            </w:r>
          </w:p>
        </w:tc>
        <w:tc>
          <w:tcPr>
            <w:tcW w:w="638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认证种类</w:t>
            </w:r>
          </w:p>
        </w:tc>
        <w:tc>
          <w:tcPr>
            <w:tcW w:w="1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r>
      <w:tr>
        <w:tblPrEx>
          <w:tblLayout w:type="fixed"/>
          <w:tblCellMar>
            <w:top w:w="0" w:type="dxa"/>
            <w:left w:w="0" w:type="dxa"/>
            <w:bottom w:w="0" w:type="dxa"/>
            <w:right w:w="0" w:type="dxa"/>
          </w:tblCellMar>
        </w:tblPrEx>
        <w:trPr>
          <w:trHeight w:val="567" w:hRule="atLeast"/>
        </w:trPr>
        <w:tc>
          <w:tcPr>
            <w:tcW w:w="1064" w:type="dxa"/>
            <w:vMerge w:val="restar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06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133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638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供应商自行填写种类，并上传证明附件以便评审查看</w:t>
            </w:r>
          </w:p>
        </w:tc>
        <w:tc>
          <w:tcPr>
            <w:tcW w:w="1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r>
      <w:tr>
        <w:tblPrEx>
          <w:tblLayout w:type="fixed"/>
          <w:tblCellMar>
            <w:top w:w="0" w:type="dxa"/>
            <w:left w:w="0" w:type="dxa"/>
            <w:bottom w:w="0" w:type="dxa"/>
            <w:right w:w="0" w:type="dxa"/>
          </w:tblCellMar>
        </w:tblPrEx>
        <w:trPr>
          <w:trHeight w:val="567" w:hRule="atLeast"/>
        </w:trPr>
        <w:tc>
          <w:tcPr>
            <w:tcW w:w="10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106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332"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638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r>
      <w:tr>
        <w:tblPrEx>
          <w:tblLayout w:type="fixed"/>
          <w:tblCellMar>
            <w:top w:w="0" w:type="dxa"/>
            <w:left w:w="0" w:type="dxa"/>
            <w:bottom w:w="0" w:type="dxa"/>
            <w:right w:w="0" w:type="dxa"/>
          </w:tblCellMar>
        </w:tblPrEx>
        <w:trPr>
          <w:trHeight w:val="567" w:hRule="atLeast"/>
        </w:trPr>
        <w:tc>
          <w:tcPr>
            <w:tcW w:w="106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备注</w:t>
            </w:r>
          </w:p>
        </w:tc>
        <w:tc>
          <w:tcPr>
            <w:tcW w:w="8786" w:type="dxa"/>
            <w:gridSpan w:val="3"/>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jc w:val="left"/>
              <w:rPr>
                <w:rFonts w:ascii="宋体" w:hAnsi="宋体" w:eastAsia="宋体" w:cs="宋体"/>
                <w:kern w:val="0"/>
                <w:sz w:val="24"/>
                <w:szCs w:val="24"/>
              </w:rPr>
            </w:pPr>
          </w:p>
        </w:tc>
        <w:tc>
          <w:tcPr>
            <w:tcW w:w="1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c>
          <w:tcPr>
            <w:tcW w:w="6" w:type="dxa"/>
            <w:vAlign w:val="center"/>
          </w:tcPr>
          <w:p>
            <w:pPr>
              <w:widowControl/>
              <w:jc w:val="left"/>
              <w:rPr>
                <w:rFonts w:ascii="宋体" w:hAnsi="宋体" w:eastAsia="宋体" w:cs="Times New Roman"/>
                <w:kern w:val="0"/>
                <w:sz w:val="24"/>
                <w:szCs w:val="20"/>
              </w:rPr>
            </w:pPr>
          </w:p>
        </w:tc>
      </w:tr>
    </w:tbl>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1、对节能、环境标志产品计算价格扣除时，只依据电子投标文件“投标（响应）报价明细表”以及“优先类节能产品、环境标志产品证明材料（价格扣除适用，若有）”。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2、本表以采购包为单位，不同采购包请分别填写；同一采购包请按照其品目号顺序分别填写。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3、具体统计、计算：</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3.1同一品目中各认证证书不重复计算价格扣除。</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3.2计算结果若除不尽，可四舍五入保留到小数点后两位。</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3.3投标人(供应商)按照采购文件要求认真统计、计算。</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3.4若无节能、环境标志产品，不填写本表。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3.5强制类节能产品不享受价格扣除。</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三-1-②优先类节能产品、环境标志产品证明材料（价格扣除适用，若有）</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三-2小型、微型企业产品等价格扣除证明材料（若有）</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三-2-①中小企业声明函（价格扣除适用，若有）</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中小企业声明函（货物）</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本公司（联合体）郑重声明，根据《政府采购促进中小企业发展管理办法》（财库﹝2020﹞46 号）的规定，本公司（联合体）参加</w:t>
      </w:r>
      <w:r>
        <w:rPr>
          <w:rFonts w:ascii="宋体" w:hAnsi="宋体" w:eastAsia="宋体" w:cs="宋体"/>
          <w:kern w:val="0"/>
          <w:sz w:val="24"/>
          <w:szCs w:val="24"/>
          <w:u w:val="single"/>
        </w:rPr>
        <w:t>（单位名称）</w:t>
      </w:r>
      <w:r>
        <w:rPr>
          <w:rFonts w:ascii="宋体" w:hAnsi="宋体" w:eastAsia="宋体" w:cs="宋体"/>
          <w:kern w:val="0"/>
          <w:sz w:val="24"/>
          <w:szCs w:val="24"/>
        </w:rPr>
        <w:t>的</w:t>
      </w:r>
      <w:r>
        <w:rPr>
          <w:rFonts w:ascii="宋体" w:hAnsi="宋体" w:eastAsia="宋体" w:cs="宋体"/>
          <w:kern w:val="0"/>
          <w:sz w:val="24"/>
          <w:szCs w:val="24"/>
          <w:u w:val="single"/>
        </w:rPr>
        <w:t>（项目名称）</w:t>
      </w:r>
      <w:r>
        <w:rPr>
          <w:rFonts w:ascii="宋体" w:hAnsi="宋体" w:eastAsia="宋体" w:cs="宋体"/>
          <w:kern w:val="0"/>
          <w:sz w:val="24"/>
          <w:szCs w:val="24"/>
        </w:rPr>
        <w:t>采购活动，提供的货物全部由符合政策要求的中小企业制造。相关企业（含联合体中的中小企业、签订分包意向协议的中小企业）的具体情况如下：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w:t>
      </w:r>
      <w:r>
        <w:rPr>
          <w:rFonts w:ascii="宋体" w:hAnsi="宋体" w:eastAsia="宋体" w:cs="宋体"/>
          <w:kern w:val="0"/>
          <w:sz w:val="24"/>
          <w:szCs w:val="24"/>
          <w:u w:val="single"/>
        </w:rPr>
        <w:t> （标的名称） </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行业；制造商为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w:t>
      </w:r>
      <w:r>
        <w:rPr>
          <w:rFonts w:ascii="宋体" w:hAnsi="宋体" w:eastAsia="宋体" w:cs="宋体"/>
          <w:kern w:val="0"/>
          <w:sz w:val="24"/>
          <w:szCs w:val="21"/>
          <w:vertAlign w:val="superscript"/>
        </w:rPr>
        <w:t>1</w:t>
      </w:r>
      <w:r>
        <w:rPr>
          <w:rFonts w:ascii="宋体" w:hAnsi="宋体" w:eastAsia="宋体" w:cs="宋体"/>
          <w:kern w:val="0"/>
          <w:sz w:val="24"/>
          <w:szCs w:val="24"/>
        </w:rPr>
        <w:t>，属于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w:t>
      </w:r>
      <w:r>
        <w:rPr>
          <w:rFonts w:ascii="宋体" w:hAnsi="宋体" w:eastAsia="宋体" w:cs="宋体"/>
          <w:kern w:val="0"/>
          <w:sz w:val="24"/>
          <w:szCs w:val="24"/>
          <w:u w:val="single"/>
        </w:rPr>
        <w:t> （标的名称） </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行业；制造商为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以上企业，不属于大企业的分支机构，不存在控股股东为大企业的情形，也不存在与大企业的负责人为同一人的情形。</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本企业对上述声明内容的真实性负责。如有虚假，将依法承担相应责任。</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1、从业人员、营业收入、资产总额填报上一年度数据，无上一年度数据的新成立企业可不填报。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中小企业声明函（工程、服务）</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本公司（联合体）郑重声明，根据《政府采购促进中小企业发展管理办法》（财库﹝2020﹞46 号）的规定，本公司（联合体）参加</w:t>
      </w:r>
      <w:r>
        <w:rPr>
          <w:rFonts w:ascii="宋体" w:hAnsi="宋体" w:eastAsia="宋体" w:cs="宋体"/>
          <w:kern w:val="0"/>
          <w:sz w:val="24"/>
          <w:szCs w:val="24"/>
          <w:u w:val="single"/>
        </w:rPr>
        <w:t>（单位名称）</w:t>
      </w:r>
      <w:r>
        <w:rPr>
          <w:rFonts w:ascii="宋体" w:hAnsi="宋体" w:eastAsia="宋体" w:cs="宋体"/>
          <w:kern w:val="0"/>
          <w:sz w:val="24"/>
          <w:szCs w:val="24"/>
        </w:rPr>
        <w:t>的</w:t>
      </w:r>
      <w:r>
        <w:rPr>
          <w:rFonts w:ascii="宋体" w:hAnsi="宋体" w:eastAsia="宋体" w:cs="宋体"/>
          <w:kern w:val="0"/>
          <w:sz w:val="24"/>
          <w:szCs w:val="24"/>
          <w:u w:val="single"/>
        </w:rPr>
        <w:t>（项目名称）</w:t>
      </w:r>
      <w:r>
        <w:rPr>
          <w:rFonts w:ascii="宋体" w:hAnsi="宋体" w:eastAsia="宋体" w:cs="宋体"/>
          <w:kern w:val="0"/>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w:t>
      </w:r>
      <w:r>
        <w:rPr>
          <w:rFonts w:ascii="宋体" w:hAnsi="宋体" w:eastAsia="宋体" w:cs="宋体"/>
          <w:kern w:val="0"/>
          <w:sz w:val="24"/>
          <w:szCs w:val="24"/>
          <w:u w:val="single"/>
        </w:rPr>
        <w:t>（标的名称）</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；承建（承接）企业为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w:t>
      </w:r>
      <w:r>
        <w:rPr>
          <w:rFonts w:ascii="宋体" w:hAnsi="宋体" w:eastAsia="宋体" w:cs="宋体"/>
          <w:kern w:val="0"/>
          <w:sz w:val="24"/>
          <w:szCs w:val="21"/>
          <w:vertAlign w:val="superscript"/>
        </w:rPr>
        <w:t>1</w:t>
      </w:r>
      <w:r>
        <w:rPr>
          <w:rFonts w:ascii="宋体" w:hAnsi="宋体" w:eastAsia="宋体" w:cs="宋体"/>
          <w:kern w:val="0"/>
          <w:sz w:val="24"/>
          <w:szCs w:val="24"/>
        </w:rPr>
        <w:t>，属于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w:t>
      </w:r>
      <w:r>
        <w:rPr>
          <w:rFonts w:ascii="宋体" w:hAnsi="宋体" w:eastAsia="宋体" w:cs="宋体"/>
          <w:kern w:val="0"/>
          <w:sz w:val="24"/>
          <w:szCs w:val="24"/>
          <w:u w:val="single"/>
        </w:rPr>
        <w:t>（标的名称）</w:t>
      </w:r>
      <w:r>
        <w:rPr>
          <w:rFonts w:ascii="宋体" w:hAnsi="宋体" w:eastAsia="宋体" w:cs="宋体"/>
          <w:kern w:val="0"/>
          <w:sz w:val="24"/>
          <w:szCs w:val="24"/>
        </w:rPr>
        <w:t>，属于</w:t>
      </w:r>
      <w:r>
        <w:rPr>
          <w:rFonts w:ascii="宋体" w:hAnsi="宋体" w:eastAsia="宋体" w:cs="宋体"/>
          <w:kern w:val="0"/>
          <w:sz w:val="24"/>
          <w:szCs w:val="24"/>
          <w:u w:val="single"/>
        </w:rPr>
        <w:t>（采购文件中明确的所属行业）</w:t>
      </w:r>
      <w:r>
        <w:rPr>
          <w:rFonts w:ascii="宋体" w:hAnsi="宋体" w:eastAsia="宋体" w:cs="宋体"/>
          <w:kern w:val="0"/>
          <w:sz w:val="24"/>
          <w:szCs w:val="24"/>
        </w:rPr>
        <w:t>；承建（承接）企业为</w:t>
      </w:r>
      <w:r>
        <w:rPr>
          <w:rFonts w:ascii="宋体" w:hAnsi="宋体" w:eastAsia="宋体" w:cs="宋体"/>
          <w:kern w:val="0"/>
          <w:sz w:val="24"/>
          <w:szCs w:val="24"/>
          <w:u w:val="single"/>
        </w:rPr>
        <w:t>（企业名称）</w:t>
      </w:r>
      <w:r>
        <w:rPr>
          <w:rFonts w:ascii="宋体" w:hAnsi="宋体" w:eastAsia="宋体" w:cs="宋体"/>
          <w:kern w:val="0"/>
          <w:sz w:val="24"/>
          <w:szCs w:val="24"/>
        </w:rPr>
        <w:t>，从业人员</w:t>
      </w:r>
      <w:r>
        <w:rPr>
          <w:rFonts w:ascii="宋体" w:hAnsi="宋体" w:eastAsia="宋体" w:cs="宋体"/>
          <w:kern w:val="0"/>
          <w:sz w:val="24"/>
          <w:szCs w:val="24"/>
          <w:u w:val="single"/>
        </w:rPr>
        <w:t>　　　　　</w:t>
      </w:r>
      <w:r>
        <w:rPr>
          <w:rFonts w:ascii="宋体" w:hAnsi="宋体" w:eastAsia="宋体" w:cs="宋体"/>
          <w:kern w:val="0"/>
          <w:sz w:val="24"/>
          <w:szCs w:val="24"/>
        </w:rPr>
        <w:t>人，营业收入为</w:t>
      </w:r>
      <w:r>
        <w:rPr>
          <w:rFonts w:ascii="宋体" w:hAnsi="宋体" w:eastAsia="宋体" w:cs="宋体"/>
          <w:kern w:val="0"/>
          <w:sz w:val="24"/>
          <w:szCs w:val="24"/>
          <w:u w:val="single"/>
        </w:rPr>
        <w:t>　　　　　</w:t>
      </w:r>
      <w:r>
        <w:rPr>
          <w:rFonts w:ascii="宋体" w:hAnsi="宋体" w:eastAsia="宋体" w:cs="宋体"/>
          <w:kern w:val="0"/>
          <w:sz w:val="24"/>
          <w:szCs w:val="24"/>
        </w:rPr>
        <w:t>万元，资产总额为</w:t>
      </w:r>
      <w:r>
        <w:rPr>
          <w:rFonts w:ascii="宋体" w:hAnsi="宋体" w:eastAsia="宋体" w:cs="宋体"/>
          <w:kern w:val="0"/>
          <w:sz w:val="24"/>
          <w:szCs w:val="24"/>
          <w:u w:val="single"/>
        </w:rPr>
        <w:t>　　　　　</w:t>
      </w:r>
      <w:r>
        <w:rPr>
          <w:rFonts w:ascii="宋体" w:hAnsi="宋体" w:eastAsia="宋体" w:cs="宋体"/>
          <w:kern w:val="0"/>
          <w:sz w:val="24"/>
          <w:szCs w:val="24"/>
        </w:rPr>
        <w:t>万元，属于</w:t>
      </w:r>
      <w:r>
        <w:rPr>
          <w:rFonts w:ascii="宋体" w:hAnsi="宋体" w:eastAsia="宋体" w:cs="宋体"/>
          <w:kern w:val="0"/>
          <w:sz w:val="24"/>
          <w:szCs w:val="24"/>
          <w:u w:val="single"/>
        </w:rPr>
        <w:t>（中型企业、小型企业、微型企业）</w:t>
      </w: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以上企业，不属于大企业的分支机构，不存在控股股东为大企业的情形，也不存在与大企业的负责人为同一人的情形。</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本企业对上述声明内容的真实性负责。如有虚假，将依法承担相应责任。</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1、从业人员、营业收入、资产总额填报上一年度数据，无上一年度数据的新成立企业可不填报。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三-2-②小型、微型企业等证明材料（价格扣除适用，若有）</w:t>
      </w:r>
    </w:p>
    <w:p>
      <w:pPr>
        <w:widowControl/>
        <w:wordWrap w:val="0"/>
        <w:ind w:firstLine="480" w:firstLineChars="200"/>
        <w:jc w:val="center"/>
        <w:rPr>
          <w:rFonts w:ascii="宋体" w:hAnsi="宋体" w:eastAsia="宋体" w:cs="宋体"/>
          <w:kern w:val="0"/>
          <w:sz w:val="24"/>
          <w:szCs w:val="24"/>
        </w:rPr>
      </w:pPr>
      <w:r>
        <w:rPr>
          <w:rFonts w:ascii="宋体" w:hAnsi="宋体" w:eastAsia="宋体" w:cs="宋体"/>
          <w:kern w:val="0"/>
          <w:sz w:val="24"/>
          <w:szCs w:val="24"/>
        </w:rPr>
        <w:t>编制说明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1、投标人为监狱企业的，根据其提供的由省级以上监狱管理局、戒毒管理局（含新疆生产建设兵团）出具的属于监狱企业的证明文件进行认定，监狱企业视同小型、微型企业。</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2、投标人为残疾人福利性单位的，根据其提供的《残疾人福利性单位声明函》（格式附后）进行认定，残疾人福利性单位视同小型、微型企业。残疾人福利性单位属于小型、微型企业的，不重复享受政策。</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附：</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残疾人福利性单位声明函（价格扣除适用，若有）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）由本投标人承建的（填写“所投采购包、品目号”）工程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）由本投标人承接的（填写“所投采购包、品目号”）服务；</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本投标人对上述声明的真实性负责。如有虚假，将依法承担相应责任。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备注：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1、请投标人按照实际情况编制填写本声明函，并在相应的（）中打“√”。</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2、若《残疾人福利性单位声明函》内容不真实，视为提供虚假材料。</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附：</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监狱企业证明材料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投标人为监狱企业，提供本单位制造的货物（承接的服务），并在电子投标文件中提供省级以上监狱管理局、戒毒管理局（含新疆生产建设兵团）出具的属于监狱企业的证明文件。</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三-3本国产品证明材料（若有）</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三-3-①关于符合本国产品标准的声明函（价格扣除适用，若有）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本公司（单位）郑重声明，根据《国务院办公厅关于在政府采购中实施本国产品标准及相关政策的通知》（国办发〔2025〕34号）的规定，本公司（单位）提供的以下产品属于本国产品。具体情况如下：</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产品名称1），生产厂为（厂名），厂址为（生产厂址）。（产品名称1）的中国境内生产的组件成本占比≥（规定比例）。（产品名称）的（关键组件）在中国境内生产。（产品名称）的（关键工序）在中国境内完成。</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产品名称2），生产厂为（厂名），厂址为（生产厂址）。（产品名称2）的中国境内生产的组件成本占比≥（规定比例）。（产品名称2）的（关键组件）在中国境内生产。（产品名称2）的（关键工序）在中国境内完成。</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本公司（单位）对上述声明内容的真实性负责。如有虚假，愿承担相应法律责任。</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公司（单位）名称（盖章）：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　　年　　月　　日</w:t>
      </w:r>
    </w:p>
    <w:p>
      <w:pPr>
        <w:widowControl/>
        <w:ind w:firstLine="480" w:firstLineChars="200"/>
        <w:jc w:val="left"/>
        <w:rPr>
          <w:rFonts w:ascii="宋体" w:hAnsi="宋体" w:eastAsia="宋体" w:cs="宋体"/>
          <w:kern w:val="0"/>
          <w:sz w:val="24"/>
          <w:szCs w:val="24"/>
        </w:rPr>
      </w:pPr>
      <w:r>
        <w:rPr>
          <w:rFonts w:ascii="宋体" w:hAnsi="宋体" w:eastAsia="宋体" w:cs="宋体"/>
          <w:kern w:val="0"/>
          <w:sz w:val="24"/>
          <w:szCs w:val="24"/>
        </w:rPr>
        <w:pict>
          <v:rect id="_x0000_i1025" o:spt="1" style="height:0pt;width:0pt;" fillcolor="#A0A0A0" filled="t" stroked="f" coordsize="21600,21600" o:hr="t" o:hrstd="t" o:hralign="center">
            <v:path/>
            <v:fill on="t" focussize="0,0"/>
            <v:stroke on="f"/>
            <v:imagedata o:title=""/>
            <o:lock v:ext="edit"/>
            <w10:wrap type="none"/>
            <w10:anchorlock/>
          </v:rect>
        </w:pic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1.产品如有型号，请在"产品名称"栏一并填写。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2.生产厂名与厂址应与生产厂营业执照载明的相关信息保持一致。</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3.该产品的中国境内生产的组件成本占比相关要求实施前，"规定比例"栏可不填，下同。</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4.该产品的关键组件要求实施前，"关键组件"栏可不填，下同。</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5.该产品的关键工序要求实施前，"关键工序"栏可不填，下同。</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三-3-②《本国产品成本占比说明》（价格扣除适用，若有）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13"/>
        <w:tblW w:w="9878" w:type="dxa"/>
        <w:tblInd w:w="0" w:type="dxa"/>
        <w:tblLayout w:type="fixed"/>
        <w:tblCellMar>
          <w:top w:w="0" w:type="dxa"/>
          <w:left w:w="0" w:type="dxa"/>
          <w:bottom w:w="0" w:type="dxa"/>
          <w:right w:w="0" w:type="dxa"/>
        </w:tblCellMar>
      </w:tblPr>
      <w:tblGrid>
        <w:gridCol w:w="1029"/>
        <w:gridCol w:w="5318"/>
        <w:gridCol w:w="1715"/>
        <w:gridCol w:w="1816"/>
      </w:tblGrid>
      <w:tr>
        <w:tblPrEx>
          <w:tblLayout w:type="fixed"/>
          <w:tblCellMar>
            <w:top w:w="0" w:type="dxa"/>
            <w:left w:w="0" w:type="dxa"/>
            <w:bottom w:w="0" w:type="dxa"/>
            <w:right w:w="0" w:type="dxa"/>
          </w:tblCellMar>
        </w:tblPrEx>
        <w:trPr>
          <w:trHeight w:val="567" w:hRule="atLeast"/>
          <w:tblHeader/>
        </w:trPr>
        <w:tc>
          <w:tcPr>
            <w:tcW w:w="1029"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序号</w:t>
            </w:r>
          </w:p>
        </w:tc>
        <w:tc>
          <w:tcPr>
            <w:tcW w:w="5318"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主要产品/技术名称（规格型号）</w:t>
            </w:r>
          </w:p>
        </w:tc>
        <w:tc>
          <w:tcPr>
            <w:tcW w:w="1715"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本国产品</w:t>
            </w:r>
          </w:p>
        </w:tc>
        <w:tc>
          <w:tcPr>
            <w:tcW w:w="1816" w:type="dxa"/>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响应的产品是否为本国产品</w:t>
            </w:r>
          </w:p>
        </w:tc>
      </w:tr>
      <w:tr>
        <w:tblPrEx>
          <w:tblLayout w:type="fixed"/>
          <w:tblCellMar>
            <w:top w:w="0" w:type="dxa"/>
            <w:left w:w="0" w:type="dxa"/>
            <w:bottom w:w="0" w:type="dxa"/>
            <w:right w:w="0" w:type="dxa"/>
          </w:tblCellMar>
        </w:tblPrEx>
        <w:trPr>
          <w:trHeight w:val="567" w:hRule="atLeast"/>
        </w:trPr>
        <w:tc>
          <w:tcPr>
            <w:tcW w:w="102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531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71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81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02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2</w:t>
            </w:r>
          </w:p>
        </w:tc>
        <w:tc>
          <w:tcPr>
            <w:tcW w:w="531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71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81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02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3</w:t>
            </w:r>
          </w:p>
        </w:tc>
        <w:tc>
          <w:tcPr>
            <w:tcW w:w="531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715"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81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8062" w:type="dxa"/>
            <w:gridSpan w:val="3"/>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供应商为该采购项目或者采购包提供的符合本国产品标准的产品成本之和占该供应商提供的全部产品成本之和的比例是否达到80%</w:t>
            </w:r>
          </w:p>
        </w:tc>
        <w:tc>
          <w:tcPr>
            <w:tcW w:w="1816"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bl>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本公司（单位）对上述承诺承担全部法律责任，若存在虚假承诺或与实际不符情形，自愿接受政府采购相关法律法规及监管规定处理，并承担由此产生的一切法律后果与经济责任。</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供应商名称（盖章）：</w:t>
      </w:r>
      <w:r>
        <w:rPr>
          <w:rFonts w:ascii="宋体" w:hAnsi="宋体" w:eastAsia="宋体" w:cs="宋体"/>
          <w:kern w:val="0"/>
          <w:sz w:val="24"/>
          <w:szCs w:val="24"/>
          <w:u w:val="single"/>
        </w:rPr>
        <w:t>                    </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　　年　　月　　日</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 供应商须同时出具《关于符合本国产品标准的声明函》（样式见下附件2）或财政部会同有关部门规定的有关证明文件。出具符合要求的《声明函》或有关证明文件的，该产品视为本国产品。</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 </w:t>
      </w:r>
    </w:p>
    <w:p>
      <w:pPr>
        <w:widowControl/>
        <w:ind w:firstLine="482" w:firstLineChars="200"/>
        <w:jc w:val="center"/>
        <w:outlineLvl w:val="3"/>
        <w:rPr>
          <w:rFonts w:ascii="宋体" w:hAnsi="宋体" w:eastAsia="宋体" w:cs="宋体"/>
          <w:b/>
          <w:bCs/>
          <w:kern w:val="0"/>
          <w:sz w:val="24"/>
          <w:szCs w:val="24"/>
        </w:rPr>
      </w:pPr>
      <w:r>
        <w:rPr>
          <w:rFonts w:ascii="宋体" w:hAnsi="宋体" w:eastAsia="宋体" w:cs="宋体"/>
          <w:b/>
          <w:bCs/>
          <w:kern w:val="0"/>
          <w:sz w:val="24"/>
          <w:szCs w:val="24"/>
        </w:rPr>
        <w:t>三-4招标文件规定的其他价格扣除证明材料（若有）</w:t>
      </w:r>
    </w:p>
    <w:p>
      <w:pPr>
        <w:widowControl/>
        <w:wordWrap w:val="0"/>
        <w:ind w:firstLine="480" w:firstLineChars="200"/>
        <w:jc w:val="center"/>
        <w:rPr>
          <w:rFonts w:ascii="宋体" w:hAnsi="宋体" w:eastAsia="宋体" w:cs="宋体"/>
          <w:kern w:val="0"/>
          <w:sz w:val="24"/>
          <w:szCs w:val="24"/>
        </w:rPr>
      </w:pPr>
      <w:r>
        <w:rPr>
          <w:rFonts w:ascii="宋体" w:hAnsi="宋体" w:eastAsia="宋体" w:cs="宋体"/>
          <w:kern w:val="0"/>
          <w:sz w:val="24"/>
          <w:szCs w:val="24"/>
        </w:rPr>
        <w:t>编制说明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若投标人可享受招标文件规定的除“节能（非强制类）、环境标志产品价格扣除”及“小型、微型企业产品等价格扣除”外的其他价格扣除优惠，则投标人应按照招标文件要求提供相应证明材料。</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jc w:val="center"/>
        <w:outlineLvl w:val="2"/>
        <w:rPr>
          <w:rFonts w:ascii="宋体" w:hAnsi="宋体" w:eastAsia="宋体" w:cs="Noto Sans"/>
          <w:b/>
          <w:bCs/>
          <w:kern w:val="0"/>
          <w:sz w:val="24"/>
          <w:szCs w:val="27"/>
        </w:rPr>
      </w:pPr>
      <w:r>
        <w:rPr>
          <w:rFonts w:ascii="宋体" w:hAnsi="宋体" w:eastAsia="宋体" w:cs="Noto Sans"/>
          <w:b/>
          <w:bCs/>
          <w:kern w:val="0"/>
          <w:sz w:val="36"/>
          <w:szCs w:val="27"/>
        </w:rPr>
        <w:br w:type="page"/>
      </w:r>
      <w:r>
        <w:rPr>
          <w:rFonts w:ascii="宋体" w:hAnsi="宋体" w:eastAsia="宋体" w:cs="Noto Sans"/>
          <w:b/>
          <w:bCs/>
          <w:kern w:val="0"/>
          <w:sz w:val="36"/>
          <w:szCs w:val="27"/>
        </w:rPr>
        <w:t>封面格式(技术商务部分)</w:t>
      </w:r>
    </w:p>
    <w:p>
      <w:pPr>
        <w:widowControl/>
        <w:ind w:firstLine="562" w:firstLineChars="200"/>
        <w:jc w:val="center"/>
        <w:outlineLvl w:val="0"/>
        <w:rPr>
          <w:rFonts w:ascii="宋体" w:hAnsi="宋体" w:eastAsia="宋体" w:cs="宋体"/>
          <w:b/>
          <w:bCs/>
          <w:kern w:val="36"/>
          <w:sz w:val="28"/>
          <w:szCs w:val="28"/>
        </w:rPr>
      </w:pPr>
      <w:r>
        <w:rPr>
          <w:rFonts w:ascii="宋体" w:hAnsi="宋体" w:eastAsia="宋体" w:cs="宋体"/>
          <w:b/>
          <w:bCs/>
          <w:kern w:val="36"/>
          <w:sz w:val="28"/>
          <w:szCs w:val="28"/>
        </w:rPr>
        <w:t>福建省政府采购投标文件</w:t>
      </w:r>
    </w:p>
    <w:p>
      <w:pPr>
        <w:widowControl/>
        <w:ind w:firstLine="562" w:firstLineChars="200"/>
        <w:jc w:val="center"/>
        <w:outlineLvl w:val="0"/>
        <w:rPr>
          <w:rFonts w:ascii="宋体" w:hAnsi="宋体" w:eastAsia="宋体" w:cs="宋体"/>
          <w:b/>
          <w:bCs/>
          <w:kern w:val="36"/>
          <w:sz w:val="28"/>
          <w:szCs w:val="28"/>
        </w:rPr>
      </w:pPr>
      <w:r>
        <w:rPr>
          <w:rFonts w:ascii="宋体" w:hAnsi="宋体" w:eastAsia="宋体" w:cs="宋体"/>
          <w:b/>
          <w:bCs/>
          <w:kern w:val="36"/>
          <w:sz w:val="28"/>
          <w:szCs w:val="28"/>
        </w:rPr>
        <w:t>（技术商务部分）</w:t>
      </w:r>
    </w:p>
    <w:p>
      <w:pPr>
        <w:widowControl/>
        <w:ind w:firstLine="560" w:firstLineChars="200"/>
        <w:jc w:val="left"/>
        <w:rPr>
          <w:rFonts w:ascii="宋体" w:hAnsi="宋体" w:eastAsia="宋体" w:cs="宋体"/>
          <w:kern w:val="0"/>
          <w:sz w:val="28"/>
          <w:szCs w:val="28"/>
        </w:rPr>
      </w:pPr>
      <w:r>
        <w:rPr>
          <w:rFonts w:ascii="宋体" w:hAnsi="宋体" w:eastAsia="宋体" w:cs="宋体"/>
          <w:kern w:val="0"/>
          <w:sz w:val="28"/>
          <w:szCs w:val="28"/>
        </w:rPr>
        <w:br w:type="textWrapping"/>
      </w:r>
      <w:r>
        <w:rPr>
          <w:rFonts w:ascii="宋体" w:hAnsi="宋体" w:eastAsia="宋体" w:cs="宋体"/>
          <w:kern w:val="0"/>
          <w:sz w:val="28"/>
          <w:szCs w:val="28"/>
        </w:rPr>
        <w:br w:type="textWrapping"/>
      </w:r>
    </w:p>
    <w:p>
      <w:pPr>
        <w:widowControl/>
        <w:ind w:firstLine="562" w:firstLineChars="200"/>
        <w:jc w:val="center"/>
        <w:outlineLvl w:val="1"/>
        <w:rPr>
          <w:rFonts w:ascii="宋体" w:hAnsi="宋体" w:eastAsia="宋体" w:cs="宋体"/>
          <w:b/>
          <w:bCs/>
          <w:kern w:val="0"/>
          <w:sz w:val="28"/>
          <w:szCs w:val="28"/>
        </w:rPr>
      </w:pPr>
      <w:r>
        <w:rPr>
          <w:rFonts w:ascii="宋体" w:hAnsi="宋体" w:eastAsia="宋体" w:cs="宋体"/>
          <w:b/>
          <w:bCs/>
          <w:kern w:val="0"/>
          <w:sz w:val="28"/>
          <w:szCs w:val="28"/>
        </w:rPr>
        <w:t>（填写正本或副本）</w:t>
      </w:r>
    </w:p>
    <w:p>
      <w:pPr>
        <w:widowControl/>
        <w:ind w:firstLine="560" w:firstLineChars="200"/>
        <w:jc w:val="left"/>
        <w:rPr>
          <w:rFonts w:ascii="宋体" w:hAnsi="宋体" w:eastAsia="宋体" w:cs="宋体"/>
          <w:kern w:val="0"/>
          <w:sz w:val="28"/>
          <w:szCs w:val="28"/>
        </w:rPr>
      </w:pPr>
      <w:r>
        <w:rPr>
          <w:rFonts w:ascii="宋体" w:hAnsi="宋体" w:eastAsia="宋体" w:cs="宋体"/>
          <w:kern w:val="0"/>
          <w:sz w:val="28"/>
          <w:szCs w:val="28"/>
        </w:rPr>
        <w:br w:type="textWrapping"/>
      </w:r>
      <w:r>
        <w:rPr>
          <w:rFonts w:ascii="宋体" w:hAnsi="宋体" w:eastAsia="宋体" w:cs="宋体"/>
          <w:kern w:val="0"/>
          <w:sz w:val="28"/>
          <w:szCs w:val="28"/>
        </w:rPr>
        <w:br w:type="textWrapping"/>
      </w:r>
      <w:r>
        <w:rPr>
          <w:rFonts w:ascii="宋体" w:hAnsi="宋体" w:eastAsia="宋体" w:cs="宋体"/>
          <w:kern w:val="0"/>
          <w:sz w:val="28"/>
          <w:szCs w:val="28"/>
        </w:rPr>
        <w:br w:type="textWrapping"/>
      </w:r>
      <w:r>
        <w:rPr>
          <w:rFonts w:ascii="宋体" w:hAnsi="宋体" w:eastAsia="宋体" w:cs="宋体"/>
          <w:kern w:val="0"/>
          <w:sz w:val="28"/>
          <w:szCs w:val="28"/>
        </w:rPr>
        <w:br w:type="textWrapping"/>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项目名称：（由投标人填写）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备案编号：（由投标人填写）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项目编号：（由投标人填写）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所投采购包：（由投标人填写）</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投标人：（填写“全称”）</w:t>
      </w:r>
    </w:p>
    <w:p>
      <w:pPr>
        <w:widowControl/>
        <w:ind w:firstLine="562" w:firstLineChars="200"/>
        <w:jc w:val="center"/>
        <w:outlineLvl w:val="2"/>
        <w:rPr>
          <w:rFonts w:ascii="宋体" w:hAnsi="宋体" w:eastAsia="宋体" w:cs="宋体"/>
          <w:b/>
          <w:bCs/>
          <w:kern w:val="0"/>
          <w:sz w:val="28"/>
          <w:szCs w:val="28"/>
        </w:rPr>
      </w:pPr>
      <w:r>
        <w:rPr>
          <w:rFonts w:ascii="宋体" w:hAnsi="宋体" w:eastAsia="宋体" w:cs="宋体"/>
          <w:b/>
          <w:bCs/>
          <w:kern w:val="0"/>
          <w:sz w:val="28"/>
          <w:szCs w:val="28"/>
        </w:rPr>
        <w:t>（由投标人填写）年（由投标人填写）月</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723" w:firstLineChars="200"/>
        <w:jc w:val="center"/>
        <w:outlineLvl w:val="2"/>
        <w:rPr>
          <w:rFonts w:ascii="宋体" w:hAnsi="宋体" w:eastAsia="宋体" w:cs="Noto Sans"/>
          <w:b/>
          <w:bCs/>
          <w:kern w:val="0"/>
          <w:sz w:val="36"/>
          <w:szCs w:val="27"/>
        </w:rPr>
      </w:pPr>
      <w:r>
        <w:rPr>
          <w:rFonts w:ascii="宋体" w:hAnsi="宋体" w:eastAsia="宋体" w:cs="Noto Sans"/>
          <w:b/>
          <w:bCs/>
          <w:kern w:val="0"/>
          <w:sz w:val="36"/>
          <w:szCs w:val="27"/>
        </w:rPr>
        <w:br w:type="page"/>
      </w:r>
      <w:r>
        <w:rPr>
          <w:rFonts w:ascii="宋体" w:hAnsi="宋体" w:eastAsia="宋体" w:cs="Noto Sans"/>
          <w:b/>
          <w:bCs/>
          <w:kern w:val="0"/>
          <w:sz w:val="36"/>
          <w:szCs w:val="27"/>
        </w:rPr>
        <w:t>索引</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一、标的说明一览表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二、技术和服务要求响应表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三、商务条件响应表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四、投标人提交的其他资料（若有）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技术商务部分中不得出现报价部分的全部或部分的投标报价信息（或组成资料），否则符合性审查不合格。</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一、标的说明一览表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项目编号：</w:t>
      </w:r>
      <w:r>
        <w:rPr>
          <w:rFonts w:ascii="宋体" w:hAnsi="宋体" w:eastAsia="宋体" w:cs="宋体"/>
          <w:kern w:val="0"/>
          <w:sz w:val="24"/>
          <w:szCs w:val="24"/>
          <w:u w:val="single"/>
        </w:rPr>
        <w:t>　　　　　　　　</w:t>
      </w:r>
    </w:p>
    <w:tbl>
      <w:tblPr>
        <w:tblStyle w:val="13"/>
        <w:tblW w:w="9878" w:type="dxa"/>
        <w:tblInd w:w="0" w:type="dxa"/>
        <w:tblLayout w:type="fixed"/>
        <w:tblCellMar>
          <w:top w:w="0" w:type="dxa"/>
          <w:left w:w="0" w:type="dxa"/>
          <w:bottom w:w="0" w:type="dxa"/>
          <w:right w:w="0" w:type="dxa"/>
        </w:tblCellMar>
      </w:tblPr>
      <w:tblGrid>
        <w:gridCol w:w="1519"/>
        <w:gridCol w:w="1519"/>
        <w:gridCol w:w="1901"/>
        <w:gridCol w:w="1140"/>
        <w:gridCol w:w="1140"/>
        <w:gridCol w:w="1519"/>
        <w:gridCol w:w="1140"/>
      </w:tblGrid>
      <w:tr>
        <w:tblPrEx>
          <w:tblLayout w:type="fixed"/>
          <w:tblCellMar>
            <w:top w:w="0" w:type="dxa"/>
            <w:left w:w="0" w:type="dxa"/>
            <w:bottom w:w="0" w:type="dxa"/>
            <w:right w:w="0" w:type="dxa"/>
          </w:tblCellMar>
        </w:tblPrEx>
        <w:trPr>
          <w:trHeight w:val="567" w:hRule="atLeast"/>
        </w:trPr>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采购包</w:t>
            </w: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品目号</w:t>
            </w: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投标标的</w:t>
            </w: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数量</w:t>
            </w: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规格</w:t>
            </w: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来源地</w:t>
            </w: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备注</w:t>
            </w:r>
          </w:p>
        </w:tc>
      </w:tr>
      <w:tr>
        <w:tblPrEx>
          <w:tblLayout w:type="fixed"/>
          <w:tblCellMar>
            <w:top w:w="0" w:type="dxa"/>
            <w:left w:w="0" w:type="dxa"/>
            <w:bottom w:w="0" w:type="dxa"/>
            <w:right w:w="0" w:type="dxa"/>
          </w:tblCellMar>
        </w:tblPrEx>
        <w:trPr>
          <w:trHeight w:val="567" w:hRule="atLeast"/>
        </w:trPr>
        <w:tc>
          <w:tcPr>
            <w:tcW w:w="1519" w:type="dxa"/>
            <w:vMerge w:val="restar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vAlign w:val="center"/>
          </w:tcPr>
          <w:p>
            <w:pPr>
              <w:widowControl/>
              <w:jc w:val="left"/>
              <w:rPr>
                <w:rFonts w:ascii="宋体" w:hAnsi="宋体" w:eastAsia="宋体" w:cs="Times New Roman"/>
                <w:kern w:val="0"/>
                <w:sz w:val="24"/>
                <w:szCs w:val="20"/>
              </w:rPr>
            </w:pPr>
          </w:p>
        </w:tc>
      </w:tr>
      <w:tr>
        <w:tblPrEx>
          <w:tblLayout w:type="fixed"/>
          <w:tblCellMar>
            <w:top w:w="0" w:type="dxa"/>
            <w:left w:w="0" w:type="dxa"/>
            <w:bottom w:w="0" w:type="dxa"/>
            <w:right w:w="0" w:type="dxa"/>
          </w:tblCellMar>
        </w:tblPrEx>
        <w:trPr>
          <w:trHeight w:val="567" w:hRule="atLeast"/>
        </w:trPr>
        <w:tc>
          <w:tcPr>
            <w:tcW w:w="1519"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vAlign w:val="center"/>
          </w:tcPr>
          <w:p>
            <w:pPr>
              <w:widowControl/>
              <w:jc w:val="left"/>
              <w:rPr>
                <w:rFonts w:ascii="宋体" w:hAnsi="宋体" w:eastAsia="宋体" w:cs="Times New Roman"/>
                <w:kern w:val="0"/>
                <w:sz w:val="24"/>
                <w:szCs w:val="20"/>
              </w:rPr>
            </w:pPr>
          </w:p>
        </w:tc>
      </w:tr>
      <w:tr>
        <w:tblPrEx>
          <w:tblLayout w:type="fixed"/>
          <w:tblCellMar>
            <w:top w:w="0" w:type="dxa"/>
            <w:left w:w="0" w:type="dxa"/>
            <w:bottom w:w="0" w:type="dxa"/>
            <w:right w:w="0" w:type="dxa"/>
          </w:tblCellMar>
        </w:tblPrEx>
        <w:trPr>
          <w:trHeight w:val="567" w:hRule="atLeast"/>
        </w:trPr>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140" w:type="dxa"/>
            <w:vAlign w:val="center"/>
          </w:tcPr>
          <w:p>
            <w:pPr>
              <w:widowControl/>
              <w:jc w:val="left"/>
              <w:rPr>
                <w:rFonts w:ascii="宋体" w:hAnsi="宋体" w:eastAsia="宋体" w:cs="Times New Roman"/>
                <w:kern w:val="0"/>
                <w:sz w:val="24"/>
                <w:szCs w:val="20"/>
              </w:rPr>
            </w:pPr>
          </w:p>
        </w:tc>
      </w:tr>
    </w:tbl>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1、本表应按照下列规定填写：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1.1“采购包”、“品目号”、“投标标的”及“数量”应与招标文件《采购标的一览表》中的有关内容（“采购包”、“品目号”、“采购标的”及“数量”）保持一致。</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1.3“投标标的”为服务的：“规格”项下应填写服务提供者提供的服务标准及品牌（若有）。“来源地”应填写服务提供者的所在地。“备注”项下应填写关于服务标准所涵盖的具体项目或内容的说明等。</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2、投标人需要说明的内容若需特殊表达，应先在本表中进行相应说明，再另页应答，但应做好标注说明，方便评委查阅评审。未标注说明可能导致的不利的评审后果由投标人自行承担。</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3、电子投标文件中涉及“投标标的”、“数量”、“规格”、“来源地”的内容若不一致，以投标客户端的投标（响应）报价明细表为准。</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二、技术和服务要求响应表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项目编号：</w:t>
      </w:r>
      <w:r>
        <w:rPr>
          <w:rFonts w:ascii="宋体" w:hAnsi="宋体" w:eastAsia="宋体" w:cs="宋体"/>
          <w:kern w:val="0"/>
          <w:sz w:val="24"/>
          <w:szCs w:val="24"/>
          <w:u w:val="single"/>
        </w:rPr>
        <w:t>　　　　　　　　</w:t>
      </w:r>
    </w:p>
    <w:tbl>
      <w:tblPr>
        <w:tblStyle w:val="13"/>
        <w:tblW w:w="9878" w:type="dxa"/>
        <w:tblInd w:w="0" w:type="dxa"/>
        <w:tblLayout w:type="fixed"/>
        <w:tblCellMar>
          <w:top w:w="0" w:type="dxa"/>
          <w:left w:w="0" w:type="dxa"/>
          <w:bottom w:w="0" w:type="dxa"/>
          <w:right w:w="0" w:type="dxa"/>
        </w:tblCellMar>
      </w:tblPr>
      <w:tblGrid>
        <w:gridCol w:w="1364"/>
        <w:gridCol w:w="1363"/>
        <w:gridCol w:w="2724"/>
        <w:gridCol w:w="1703"/>
        <w:gridCol w:w="2724"/>
      </w:tblGrid>
      <w:tr>
        <w:tblPrEx>
          <w:tblLayout w:type="fixed"/>
          <w:tblCellMar>
            <w:top w:w="0" w:type="dxa"/>
            <w:left w:w="0" w:type="dxa"/>
            <w:bottom w:w="0" w:type="dxa"/>
            <w:right w:w="0" w:type="dxa"/>
          </w:tblCellMar>
        </w:tblPrEx>
        <w:trPr>
          <w:trHeight w:val="567" w:hRule="atLeast"/>
        </w:trPr>
        <w:tc>
          <w:tcPr>
            <w:tcW w:w="136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采购包</w:t>
            </w:r>
          </w:p>
        </w:tc>
        <w:tc>
          <w:tcPr>
            <w:tcW w:w="136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品目号</w:t>
            </w: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技术和服务要求</w:t>
            </w:r>
          </w:p>
        </w:tc>
        <w:tc>
          <w:tcPr>
            <w:tcW w:w="170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投标响应</w:t>
            </w: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是否偏离及说明</w:t>
            </w:r>
          </w:p>
        </w:tc>
      </w:tr>
      <w:tr>
        <w:tblPrEx>
          <w:tblLayout w:type="fixed"/>
          <w:tblCellMar>
            <w:top w:w="0" w:type="dxa"/>
            <w:left w:w="0" w:type="dxa"/>
            <w:bottom w:w="0" w:type="dxa"/>
            <w:right w:w="0" w:type="dxa"/>
          </w:tblCellMar>
        </w:tblPrEx>
        <w:trPr>
          <w:trHeight w:val="567" w:hRule="atLeast"/>
        </w:trPr>
        <w:tc>
          <w:tcPr>
            <w:tcW w:w="1364" w:type="dxa"/>
            <w:vMerge w:val="restar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36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70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364"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136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70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36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36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703"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2724"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bl>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1、本表应按照下列规定填写：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1.1“技术和服务要求”项下填写的内容应与招标文件第五章“技术和服务要求”的内容保持一致。</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1.3“是否偏离及说明”项下应按下列规定填写：优于的，填写“正偏离”；符合的，填写“无偏离”；低于的，填写“负偏离”。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2、投标人需要说明的内容若需特殊表达，应先在本表中进行相应说明，再另页应答，但应做好标注说明，方便评委查阅评审。未标注说明可能导致的不利的评审后果由投标人自行承担。</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三、商务条件响应表</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项目编号：</w:t>
      </w:r>
      <w:r>
        <w:rPr>
          <w:rFonts w:ascii="宋体" w:hAnsi="宋体" w:eastAsia="宋体" w:cs="宋体"/>
          <w:kern w:val="0"/>
          <w:sz w:val="24"/>
          <w:szCs w:val="24"/>
          <w:u w:val="single"/>
        </w:rPr>
        <w:t>　　　　　　　　</w:t>
      </w:r>
    </w:p>
    <w:tbl>
      <w:tblPr>
        <w:tblStyle w:val="13"/>
        <w:tblW w:w="9878" w:type="dxa"/>
        <w:tblInd w:w="0" w:type="dxa"/>
        <w:tblLayout w:type="fixed"/>
        <w:tblCellMar>
          <w:top w:w="0" w:type="dxa"/>
          <w:left w:w="0" w:type="dxa"/>
          <w:bottom w:w="0" w:type="dxa"/>
          <w:right w:w="0" w:type="dxa"/>
        </w:tblCellMar>
      </w:tblPr>
      <w:tblGrid>
        <w:gridCol w:w="1519"/>
        <w:gridCol w:w="1519"/>
        <w:gridCol w:w="1901"/>
        <w:gridCol w:w="1901"/>
        <w:gridCol w:w="3038"/>
      </w:tblGrid>
      <w:tr>
        <w:tblPrEx>
          <w:tblLayout w:type="fixed"/>
          <w:tblCellMar>
            <w:top w:w="0" w:type="dxa"/>
            <w:left w:w="0" w:type="dxa"/>
            <w:bottom w:w="0" w:type="dxa"/>
            <w:right w:w="0" w:type="dxa"/>
          </w:tblCellMar>
        </w:tblPrEx>
        <w:trPr>
          <w:trHeight w:val="567" w:hRule="atLeast"/>
        </w:trPr>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采购包</w:t>
            </w: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品目号</w:t>
            </w: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商务条件</w:t>
            </w: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投标响应</w:t>
            </w:r>
          </w:p>
        </w:tc>
        <w:tc>
          <w:tcPr>
            <w:tcW w:w="30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是否偏离及说明</w:t>
            </w:r>
          </w:p>
        </w:tc>
      </w:tr>
      <w:tr>
        <w:tblPrEx>
          <w:tblLayout w:type="fixed"/>
          <w:tblCellMar>
            <w:top w:w="0" w:type="dxa"/>
            <w:left w:w="0" w:type="dxa"/>
            <w:bottom w:w="0" w:type="dxa"/>
            <w:right w:w="0" w:type="dxa"/>
          </w:tblCellMar>
        </w:tblPrEx>
        <w:trPr>
          <w:trHeight w:val="567" w:hRule="atLeast"/>
        </w:trPr>
        <w:tc>
          <w:tcPr>
            <w:tcW w:w="1519" w:type="dxa"/>
            <w:vMerge w:val="restar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*-1</w:t>
            </w: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30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519"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30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r>
        <w:tblPrEx>
          <w:tblLayout w:type="fixed"/>
          <w:tblCellMar>
            <w:top w:w="0" w:type="dxa"/>
            <w:left w:w="0" w:type="dxa"/>
            <w:bottom w:w="0" w:type="dxa"/>
            <w:right w:w="0" w:type="dxa"/>
          </w:tblCellMar>
        </w:tblPrEx>
        <w:trPr>
          <w:trHeight w:val="567" w:hRule="atLeast"/>
        </w:trPr>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r>
              <w:rPr>
                <w:rFonts w:ascii="宋体" w:hAnsi="宋体" w:eastAsia="宋体" w:cs="宋体"/>
                <w:kern w:val="0"/>
                <w:sz w:val="24"/>
                <w:szCs w:val="24"/>
              </w:rPr>
              <w:t>…</w:t>
            </w:r>
          </w:p>
        </w:tc>
        <w:tc>
          <w:tcPr>
            <w:tcW w:w="1519"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1901"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c>
          <w:tcPr>
            <w:tcW w:w="3038" w:type="dxa"/>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pPr>
              <w:widowControl/>
              <w:wordWrap w:val="0"/>
              <w:jc w:val="center"/>
              <w:rPr>
                <w:rFonts w:ascii="宋体" w:hAnsi="宋体" w:eastAsia="宋体" w:cs="宋体"/>
                <w:kern w:val="0"/>
                <w:sz w:val="24"/>
                <w:szCs w:val="24"/>
              </w:rPr>
            </w:pPr>
          </w:p>
        </w:tc>
      </w:tr>
    </w:tbl>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※注意：</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1、本表应按照下列规定填写：</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1.1“商务条件”项下填写的内容应与招标文件第五章“商务条件”的内容保持一致。</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1.2“投标响应”项下应填写具体的响应内容并与“商务条件”项下填写的内容逐项对应；对“商务条件”项下涉及“≥或＞”、“≤或＜”及某个区间值范围内的内容，应填写具体的数值。</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1.3“是否偏离及说明”项下应按下列规定填写：优于的，填写“正偏离”；符合的，填写“无偏离”；低于的，填写“负偏离”。</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2、投标人需要说明的内容若需特殊表达，应先在本表中进行相应说明，再另页应答，但应做好标注说明，方便评委查阅评审。未标注说明可能导致的不利的评审后果由投标人自行承担。</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投标人：</w:t>
      </w:r>
      <w:r>
        <w:rPr>
          <w:rFonts w:ascii="宋体" w:hAnsi="宋体" w:eastAsia="宋体" w:cs="宋体"/>
          <w:kern w:val="0"/>
          <w:sz w:val="24"/>
          <w:szCs w:val="24"/>
          <w:u w:val="single"/>
        </w:rPr>
        <w:t>（全称并加盖单位公章）</w:t>
      </w:r>
    </w:p>
    <w:p>
      <w:pPr>
        <w:widowControl/>
        <w:wordWrap w:val="0"/>
        <w:ind w:firstLine="480" w:firstLineChars="200"/>
        <w:jc w:val="right"/>
        <w:rPr>
          <w:rFonts w:ascii="宋体" w:hAnsi="宋体" w:eastAsia="宋体" w:cs="宋体"/>
          <w:kern w:val="0"/>
          <w:sz w:val="24"/>
          <w:szCs w:val="24"/>
        </w:rPr>
      </w:pPr>
      <w:r>
        <w:rPr>
          <w:rFonts w:ascii="宋体" w:hAnsi="宋体" w:eastAsia="宋体" w:cs="宋体"/>
          <w:kern w:val="0"/>
          <w:sz w:val="24"/>
          <w:szCs w:val="24"/>
        </w:rPr>
        <w:t>日期：</w:t>
      </w:r>
      <w:r>
        <w:rPr>
          <w:rFonts w:ascii="宋体" w:hAnsi="宋体" w:eastAsia="宋体" w:cs="宋体"/>
          <w:kern w:val="0"/>
          <w:sz w:val="24"/>
          <w:szCs w:val="24"/>
          <w:u w:val="single"/>
        </w:rPr>
        <w:t>　　年　　月　　日</w:t>
      </w:r>
    </w:p>
    <w:p>
      <w:pPr>
        <w:widowControl/>
        <w:shd w:val="clear" w:color="auto" w:fill="FFFFFF"/>
        <w:wordWrap w:val="0"/>
        <w:ind w:firstLine="480" w:firstLineChars="200"/>
        <w:jc w:val="left"/>
        <w:rPr>
          <w:rFonts w:ascii="宋体" w:hAnsi="宋体" w:eastAsia="宋体" w:cs="Noto Sans"/>
          <w:kern w:val="0"/>
          <w:sz w:val="24"/>
          <w:szCs w:val="24"/>
        </w:rPr>
      </w:pPr>
      <w:r>
        <w:rPr>
          <w:rFonts w:ascii="宋体" w:hAnsi="宋体" w:eastAsia="宋体" w:cs="Noto Sans"/>
          <w:kern w:val="0"/>
          <w:sz w:val="24"/>
          <w:szCs w:val="24"/>
        </w:rPr>
        <w:t> </w:t>
      </w:r>
    </w:p>
    <w:p>
      <w:pPr>
        <w:widowControl/>
        <w:shd w:val="clear" w:color="auto" w:fill="FFFFFF"/>
        <w:ind w:firstLine="482" w:firstLineChars="200"/>
        <w:jc w:val="center"/>
        <w:outlineLvl w:val="2"/>
        <w:rPr>
          <w:rFonts w:ascii="宋体" w:hAnsi="宋体" w:eastAsia="宋体" w:cs="Noto Sans"/>
          <w:b/>
          <w:bCs/>
          <w:kern w:val="0"/>
          <w:sz w:val="24"/>
          <w:szCs w:val="27"/>
        </w:rPr>
      </w:pPr>
      <w:r>
        <w:rPr>
          <w:rFonts w:ascii="宋体" w:hAnsi="宋体" w:eastAsia="宋体" w:cs="Noto Sans"/>
          <w:b/>
          <w:bCs/>
          <w:kern w:val="0"/>
          <w:sz w:val="24"/>
          <w:szCs w:val="27"/>
        </w:rPr>
        <w:t>四、投标人提交的其他资料（若有）</w:t>
      </w:r>
    </w:p>
    <w:p>
      <w:pPr>
        <w:widowControl/>
        <w:wordWrap w:val="0"/>
        <w:ind w:firstLine="480" w:firstLineChars="200"/>
        <w:jc w:val="center"/>
        <w:rPr>
          <w:rFonts w:ascii="宋体" w:hAnsi="宋体" w:eastAsia="宋体" w:cs="宋体"/>
          <w:kern w:val="0"/>
          <w:sz w:val="24"/>
          <w:szCs w:val="24"/>
        </w:rPr>
      </w:pPr>
      <w:r>
        <w:rPr>
          <w:rFonts w:ascii="宋体" w:hAnsi="宋体" w:eastAsia="宋体" w:cs="宋体"/>
          <w:kern w:val="0"/>
          <w:sz w:val="24"/>
          <w:szCs w:val="24"/>
        </w:rPr>
        <w:t>编制说明</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1、招标文件要求提交的除“资格及资信证明部分”、“报价部分”外的其他证明材料或资料加盖投标人的单位公章后应在此项下提交。</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2、招标文件要求投标人提供方案（包括但不限于：组织、实施、技术、服务方案等）的，投标人应在此项下提交。</w:t>
      </w:r>
    </w:p>
    <w:p>
      <w:pPr>
        <w:widowControl/>
        <w:wordWrap w:val="0"/>
        <w:ind w:firstLine="480" w:firstLineChars="200"/>
        <w:jc w:val="left"/>
        <w:rPr>
          <w:rFonts w:ascii="宋体" w:hAnsi="宋体" w:eastAsia="宋体" w:cs="宋体"/>
          <w:kern w:val="0"/>
          <w:sz w:val="24"/>
          <w:szCs w:val="24"/>
        </w:rPr>
      </w:pPr>
      <w:r>
        <w:rPr>
          <w:rFonts w:ascii="宋体" w:hAnsi="宋体" w:eastAsia="宋体" w:cs="宋体"/>
          <w:kern w:val="0"/>
          <w:sz w:val="24"/>
          <w:szCs w:val="24"/>
        </w:rPr>
        <w:t>3、除招标文件另有规定外，投标人认为需要提交的其他证明材料或资料加盖投标人的单位公章后应在此项下提交。</w:t>
      </w:r>
    </w:p>
    <w:p>
      <w:pPr>
        <w:ind w:firstLine="480" w:firstLineChars="200"/>
        <w:rPr>
          <w:rFonts w:ascii="宋体" w:hAnsi="宋体" w:eastAsia="宋体"/>
          <w:sz w:val="24"/>
        </w:rPr>
      </w:pPr>
    </w:p>
    <w:sectPr>
      <w:footerReference r:id="rId4" w:type="default"/>
      <w:pgSz w:w="11906" w:h="16838"/>
      <w:pgMar w:top="1134" w:right="1134" w:bottom="1134" w:left="1134" w:header="567" w:footer="567"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oto Sans">
    <w:altName w:val="Segoe Print"/>
    <w:panose1 w:val="020B0502040504020204"/>
    <w:charset w:val="00"/>
    <w:family w:val="swiss"/>
    <w:pitch w:val="default"/>
    <w:sig w:usb0="00000000" w:usb1="00000000" w:usb2="08000029" w:usb3="00000000" w:csb0="0000019F"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746908"/>
      <w:docPartObj>
        <w:docPartGallery w:val="AutoText"/>
      </w:docPartObj>
    </w:sdtPr>
    <w:sdtContent>
      <w:p>
        <w:pPr>
          <w:pStyle w:val="8"/>
          <w:jc w:val="center"/>
        </w:pPr>
        <w:r>
          <w:rPr>
            <w:rFonts w:ascii="宋体" w:hAnsi="宋体" w:eastAsia="宋体"/>
            <w:sz w:val="26"/>
            <w:szCs w:val="26"/>
          </w:rPr>
          <w:fldChar w:fldCharType="begin"/>
        </w:r>
        <w:r>
          <w:rPr>
            <w:rFonts w:ascii="宋体" w:hAnsi="宋体" w:eastAsia="宋体"/>
            <w:sz w:val="26"/>
            <w:szCs w:val="26"/>
          </w:rPr>
          <w:instrText xml:space="preserve"> PAGE   \* MERGEFORMAT </w:instrText>
        </w:r>
        <w:r>
          <w:rPr>
            <w:rFonts w:ascii="宋体" w:hAnsi="宋体" w:eastAsia="宋体"/>
            <w:sz w:val="26"/>
            <w:szCs w:val="26"/>
          </w:rPr>
          <w:fldChar w:fldCharType="separate"/>
        </w:r>
        <w:r>
          <w:rPr>
            <w:rFonts w:ascii="宋体" w:hAnsi="宋体" w:eastAsia="宋体"/>
            <w:sz w:val="26"/>
            <w:szCs w:val="26"/>
            <w:lang w:val="zh-CN"/>
          </w:rPr>
          <w:t>31</w:t>
        </w:r>
        <w:r>
          <w:rPr>
            <w:rFonts w:ascii="宋体" w:hAnsi="宋体" w:eastAsia="宋体"/>
            <w:sz w:val="26"/>
            <w:szCs w:val="26"/>
          </w:rP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714CD"/>
    <w:rsid w:val="000A1CAE"/>
    <w:rsid w:val="001A1853"/>
    <w:rsid w:val="001B20B7"/>
    <w:rsid w:val="001C31A4"/>
    <w:rsid w:val="00222E15"/>
    <w:rsid w:val="002D24BB"/>
    <w:rsid w:val="002D466C"/>
    <w:rsid w:val="003012A0"/>
    <w:rsid w:val="00307634"/>
    <w:rsid w:val="00361197"/>
    <w:rsid w:val="003D1BAF"/>
    <w:rsid w:val="004060A6"/>
    <w:rsid w:val="00427C09"/>
    <w:rsid w:val="004D2D11"/>
    <w:rsid w:val="004E3C59"/>
    <w:rsid w:val="00556333"/>
    <w:rsid w:val="005C1425"/>
    <w:rsid w:val="005E11D7"/>
    <w:rsid w:val="006A16F2"/>
    <w:rsid w:val="00720CD8"/>
    <w:rsid w:val="007231B6"/>
    <w:rsid w:val="00730162"/>
    <w:rsid w:val="0077724B"/>
    <w:rsid w:val="007A4093"/>
    <w:rsid w:val="007C126C"/>
    <w:rsid w:val="00817C49"/>
    <w:rsid w:val="008B4FB7"/>
    <w:rsid w:val="008B7BC0"/>
    <w:rsid w:val="00912465"/>
    <w:rsid w:val="009454AF"/>
    <w:rsid w:val="0094579B"/>
    <w:rsid w:val="00963425"/>
    <w:rsid w:val="00972A15"/>
    <w:rsid w:val="00992366"/>
    <w:rsid w:val="00996BE8"/>
    <w:rsid w:val="009A3622"/>
    <w:rsid w:val="009E76B0"/>
    <w:rsid w:val="00B1412F"/>
    <w:rsid w:val="00B33A0F"/>
    <w:rsid w:val="00C8143E"/>
    <w:rsid w:val="00CD4027"/>
    <w:rsid w:val="00D4298F"/>
    <w:rsid w:val="00D443C7"/>
    <w:rsid w:val="00D60F84"/>
    <w:rsid w:val="00D66E5D"/>
    <w:rsid w:val="00DC59F0"/>
    <w:rsid w:val="00E05EFF"/>
    <w:rsid w:val="00E44197"/>
    <w:rsid w:val="00E73E44"/>
    <w:rsid w:val="00E742AC"/>
    <w:rsid w:val="00E865A8"/>
    <w:rsid w:val="00EA44F1"/>
    <w:rsid w:val="00EC3394"/>
    <w:rsid w:val="00EE3146"/>
    <w:rsid w:val="00F221BE"/>
    <w:rsid w:val="00F3431C"/>
    <w:rsid w:val="00F714CD"/>
    <w:rsid w:val="00F8111B"/>
    <w:rsid w:val="7E3C4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next w:val="1"/>
    <w:link w:val="17"/>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1">
    <w:name w:val="Default Paragraph Font"/>
    <w:semiHidden/>
    <w:unhideWhenUsed/>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6">
    <w:name w:val="Body Text"/>
    <w:basedOn w:val="1"/>
    <w:link w:val="49"/>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Balloon Text"/>
    <w:basedOn w:val="1"/>
    <w:link w:val="50"/>
    <w:semiHidden/>
    <w:unhideWhenUsed/>
    <w:qFormat/>
    <w:uiPriority w:val="99"/>
    <w:rPr>
      <w:sz w:val="18"/>
      <w:szCs w:val="18"/>
    </w:rPr>
  </w:style>
  <w:style w:type="paragraph" w:styleId="8">
    <w:name w:val="footer"/>
    <w:basedOn w:val="1"/>
    <w:link w:val="48"/>
    <w:unhideWhenUsed/>
    <w:qFormat/>
    <w:uiPriority w:val="99"/>
    <w:pPr>
      <w:tabs>
        <w:tab w:val="center" w:pos="4153"/>
        <w:tab w:val="right" w:pos="8306"/>
      </w:tabs>
      <w:snapToGrid w:val="0"/>
      <w:jc w:val="left"/>
    </w:pPr>
    <w:rPr>
      <w:sz w:val="18"/>
      <w:szCs w:val="18"/>
    </w:rPr>
  </w:style>
  <w:style w:type="paragraph" w:styleId="9">
    <w:name w:val="header"/>
    <w:basedOn w:val="1"/>
    <w:link w:val="4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Strong"/>
    <w:basedOn w:val="11"/>
    <w:qFormat/>
    <w:uiPriority w:val="22"/>
    <w:rPr>
      <w:b/>
      <w:bCs/>
    </w:rPr>
  </w:style>
  <w:style w:type="character" w:customStyle="1" w:styleId="14">
    <w:name w:val="标题 1 Char"/>
    <w:basedOn w:val="11"/>
    <w:link w:val="2"/>
    <w:uiPriority w:val="9"/>
    <w:rPr>
      <w:rFonts w:ascii="宋体" w:hAnsi="宋体" w:eastAsia="宋体" w:cs="宋体"/>
      <w:b/>
      <w:bCs/>
      <w:kern w:val="36"/>
      <w:sz w:val="48"/>
      <w:szCs w:val="48"/>
    </w:rPr>
  </w:style>
  <w:style w:type="character" w:customStyle="1" w:styleId="15">
    <w:name w:val="标题 2 Char"/>
    <w:basedOn w:val="11"/>
    <w:link w:val="3"/>
    <w:uiPriority w:val="9"/>
    <w:rPr>
      <w:rFonts w:ascii="宋体" w:hAnsi="宋体" w:eastAsia="宋体" w:cs="宋体"/>
      <w:b/>
      <w:bCs/>
      <w:kern w:val="0"/>
      <w:sz w:val="36"/>
      <w:szCs w:val="36"/>
    </w:rPr>
  </w:style>
  <w:style w:type="character" w:customStyle="1" w:styleId="16">
    <w:name w:val="标题 3 Char"/>
    <w:basedOn w:val="11"/>
    <w:link w:val="4"/>
    <w:qFormat/>
    <w:uiPriority w:val="9"/>
    <w:rPr>
      <w:rFonts w:ascii="宋体" w:hAnsi="宋体" w:eastAsia="宋体" w:cs="宋体"/>
      <w:b/>
      <w:bCs/>
      <w:kern w:val="0"/>
      <w:sz w:val="27"/>
      <w:szCs w:val="27"/>
    </w:rPr>
  </w:style>
  <w:style w:type="character" w:customStyle="1" w:styleId="17">
    <w:name w:val="标题 4 Char"/>
    <w:basedOn w:val="11"/>
    <w:link w:val="5"/>
    <w:qFormat/>
    <w:uiPriority w:val="9"/>
    <w:rPr>
      <w:rFonts w:ascii="宋体" w:hAnsi="宋体" w:eastAsia="宋体" w:cs="宋体"/>
      <w:b/>
      <w:bCs/>
      <w:kern w:val="0"/>
      <w:sz w:val="24"/>
      <w:szCs w:val="24"/>
    </w:rPr>
  </w:style>
  <w:style w:type="character" w:customStyle="1" w:styleId="18">
    <w:name w:val="compilingdate-compilingdate"/>
    <w:basedOn w:val="11"/>
    <w:qFormat/>
    <w:uiPriority w:val="0"/>
  </w:style>
  <w:style w:type="character" w:customStyle="1" w:styleId="19">
    <w:name w:val="importedproductsdescription-importedproductsdescription"/>
    <w:basedOn w:val="11"/>
    <w:qFormat/>
    <w:uiPriority w:val="0"/>
  </w:style>
  <w:style w:type="character" w:customStyle="1" w:styleId="20">
    <w:name w:val="implementenergyconservationpolicies-forcedenergysaving"/>
    <w:basedOn w:val="11"/>
    <w:qFormat/>
    <w:uiPriority w:val="0"/>
  </w:style>
  <w:style w:type="character" w:customStyle="1" w:styleId="21">
    <w:name w:val="implementenergyconservationpolicies-environmentsymbol"/>
    <w:basedOn w:val="11"/>
    <w:qFormat/>
    <w:uiPriority w:val="0"/>
  </w:style>
  <w:style w:type="paragraph" w:customStyle="1" w:styleId="22">
    <w:name w:val="consortium-consortium"/>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3">
    <w:name w:val="electronicsignatureseal-electronicsignatureseal"/>
    <w:basedOn w:val="11"/>
    <w:qFormat/>
    <w:uiPriority w:val="0"/>
  </w:style>
  <w:style w:type="character" w:customStyle="1" w:styleId="24">
    <w:name w:val="electronicsignaturesealcopy-electronicsignaturesealcopy"/>
    <w:basedOn w:val="11"/>
    <w:qFormat/>
    <w:uiPriority w:val="0"/>
  </w:style>
  <w:style w:type="character" w:customStyle="1" w:styleId="25">
    <w:name w:val="tendervalidity-tendervalidity"/>
    <w:basedOn w:val="11"/>
    <w:qFormat/>
    <w:uiPriority w:val="0"/>
  </w:style>
  <w:style w:type="paragraph" w:customStyle="1" w:styleId="26">
    <w:name w:val="calibrationprinciple-multiplesuccesssuppli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7">
    <w:name w:val="calibrationprocedure-bidgenerationmethod"/>
    <w:basedOn w:val="11"/>
    <w:qFormat/>
    <w:uiPriority w:val="0"/>
  </w:style>
  <w:style w:type="paragraph" w:customStyle="1" w:styleId="28">
    <w:name w:val="prescribedmethod-prescribedmetho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
    <w:name w:val="notprescribedmethod-notprescribedmethod"/>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0">
    <w:name w:val="contractlimitime-contractlimitime"/>
    <w:basedOn w:val="11"/>
    <w:qFormat/>
    <w:uiPriority w:val="0"/>
  </w:style>
  <w:style w:type="character" w:customStyle="1" w:styleId="31">
    <w:name w:val="regulatorsmessage-regulatorsmessage"/>
    <w:basedOn w:val="11"/>
    <w:qFormat/>
    <w:uiPriority w:val="0"/>
  </w:style>
  <w:style w:type="paragraph" w:customStyle="1" w:styleId="32">
    <w:name w:val="scheduleinstructionsother1-scheduleinstructionsother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
    <w:name w:val="scheduleinstructionsbidfile-scheduleinstructionsbidfi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scheduleinstructionsmodify-scheduleinstructionsmodif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scheduleinstructionsother2-scheduleinstructionsothe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
    <w:name w:val="depositappointmentother-depositappointmentoth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
    <w:name w:val="expertgroup-qualificationreviewcompositi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
    <w:name w:val="minimumpriceprescribedmethod-minimumpriceprescribedmetho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9">
    <w:name w:val="comprehensiveprescribedmethod-comprehensiveprescribedmetho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
    <w:name w:val="evaluationmethod-evaluation"/>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1">
    <w:name w:val="otherprovisions-otherprovisions"/>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2">
    <w:name w:val="null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
    <w:name w:val="othermatters-othermatters"/>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4">
    <w:name w:val="inputcheck"/>
    <w:basedOn w:val="11"/>
    <w:qFormat/>
    <w:uiPriority w:val="0"/>
  </w:style>
  <w:style w:type="character" w:customStyle="1" w:styleId="45">
    <w:name w:val="summary-item-name"/>
    <w:basedOn w:val="11"/>
    <w:qFormat/>
    <w:uiPriority w:val="0"/>
  </w:style>
  <w:style w:type="character" w:customStyle="1" w:styleId="46">
    <w:name w:val="underline"/>
    <w:basedOn w:val="11"/>
    <w:uiPriority w:val="0"/>
  </w:style>
  <w:style w:type="character" w:customStyle="1" w:styleId="47">
    <w:name w:val="页眉 Char"/>
    <w:basedOn w:val="11"/>
    <w:link w:val="9"/>
    <w:semiHidden/>
    <w:qFormat/>
    <w:uiPriority w:val="99"/>
    <w:rPr>
      <w:sz w:val="18"/>
      <w:szCs w:val="18"/>
    </w:rPr>
  </w:style>
  <w:style w:type="character" w:customStyle="1" w:styleId="48">
    <w:name w:val="页脚 Char"/>
    <w:basedOn w:val="11"/>
    <w:link w:val="8"/>
    <w:uiPriority w:val="99"/>
    <w:rPr>
      <w:sz w:val="18"/>
      <w:szCs w:val="18"/>
    </w:rPr>
  </w:style>
  <w:style w:type="character" w:customStyle="1" w:styleId="49">
    <w:name w:val="正文文本 Char"/>
    <w:basedOn w:val="11"/>
    <w:link w:val="6"/>
    <w:semiHidden/>
    <w:uiPriority w:val="99"/>
    <w:rPr>
      <w:rFonts w:ascii="宋体" w:hAnsi="宋体" w:eastAsia="宋体" w:cs="宋体"/>
      <w:kern w:val="0"/>
      <w:sz w:val="24"/>
      <w:szCs w:val="24"/>
    </w:rPr>
  </w:style>
  <w:style w:type="character" w:customStyle="1" w:styleId="50">
    <w:name w:val="批注框文本 Char"/>
    <w:basedOn w:val="11"/>
    <w:link w:val="7"/>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CCZB</Company>
  <Pages>71</Pages>
  <Words>10440</Words>
  <Characters>59512</Characters>
  <Lines>495</Lines>
  <Paragraphs>139</Paragraphs>
  <TotalTime>75</TotalTime>
  <ScaleCrop>false</ScaleCrop>
  <LinksUpToDate>false</LinksUpToDate>
  <CharactersWithSpaces>69813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2026-09-07T11:05:00Z</dcterms:created>
  <dc:creator>CCZB</dc:creator>
  <cp:lastModifiedBy>yw</cp:lastModifiedBy>
  <dcterms:modified xsi:type="dcterms:W3CDTF">2026-09-11T07:52:29Z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